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FEAC0" w14:textId="77777777" w:rsidR="00BC70F2" w:rsidRDefault="00826663">
      <w:pPr>
        <w:pStyle w:val="Heading1"/>
        <w:spacing w:before="54"/>
      </w:pPr>
      <w:r>
        <w:rPr>
          <w:color w:val="FCFCFC"/>
          <w:w w:val="90"/>
        </w:rPr>
        <w:t>J</w:t>
      </w:r>
      <w:bookmarkStart w:id="0" w:name="_Hlk527023204"/>
      <w:r>
        <w:rPr>
          <w:color w:val="FCFCFC"/>
          <w:w w:val="90"/>
        </w:rPr>
        <w:t xml:space="preserve">uly </w:t>
      </w:r>
      <w:r w:rsidR="00F118CE">
        <w:rPr>
          <w:color w:val="FCFCFC"/>
          <w:w w:val="90"/>
        </w:rPr>
        <w:t>201</w:t>
      </w:r>
      <w:r>
        <w:rPr>
          <w:color w:val="FCFCFC"/>
          <w:w w:val="90"/>
        </w:rPr>
        <w:t>8</w:t>
      </w:r>
    </w:p>
    <w:p w14:paraId="386DBF1D" w14:textId="77777777" w:rsidR="00BC70F2" w:rsidRDefault="00BC70F2">
      <w:pPr>
        <w:pStyle w:val="BodyText"/>
        <w:rPr>
          <w:rFonts w:ascii="Times New Roman"/>
          <w:sz w:val="48"/>
        </w:rPr>
      </w:pPr>
    </w:p>
    <w:p w14:paraId="4F3FC039" w14:textId="77777777" w:rsidR="00BC70F2" w:rsidRDefault="00BC70F2">
      <w:pPr>
        <w:pStyle w:val="BodyText"/>
        <w:rPr>
          <w:rFonts w:ascii="Times New Roman"/>
          <w:sz w:val="48"/>
        </w:rPr>
      </w:pPr>
    </w:p>
    <w:p w14:paraId="5BBE3554" w14:textId="479660AE" w:rsidR="00BC70F2" w:rsidRPr="004871E4" w:rsidRDefault="00DD33CA">
      <w:pPr>
        <w:pStyle w:val="BodyText"/>
        <w:rPr>
          <w:rFonts w:ascii="Times New Roman"/>
          <w:sz w:val="32"/>
        </w:rPr>
      </w:pPr>
      <w:r>
        <w:rPr>
          <w:rFonts w:ascii="Times New Roman"/>
          <w:sz w:val="48"/>
        </w:rPr>
        <w:tab/>
      </w:r>
      <w:r>
        <w:rPr>
          <w:rFonts w:ascii="Times New Roman"/>
          <w:sz w:val="48"/>
        </w:rPr>
        <w:tab/>
      </w:r>
      <w:r>
        <w:rPr>
          <w:rFonts w:ascii="Times New Roman"/>
          <w:sz w:val="48"/>
        </w:rPr>
        <w:tab/>
      </w:r>
      <w:r>
        <w:rPr>
          <w:rFonts w:ascii="Times New Roman"/>
          <w:sz w:val="48"/>
        </w:rPr>
        <w:tab/>
      </w:r>
      <w:r>
        <w:rPr>
          <w:rFonts w:ascii="Times New Roman"/>
          <w:sz w:val="48"/>
        </w:rPr>
        <w:tab/>
      </w:r>
      <w:r>
        <w:rPr>
          <w:rFonts w:ascii="Times New Roman"/>
          <w:sz w:val="48"/>
        </w:rPr>
        <w:tab/>
      </w:r>
      <w:r>
        <w:rPr>
          <w:rFonts w:ascii="Times New Roman"/>
          <w:sz w:val="48"/>
        </w:rPr>
        <w:tab/>
      </w:r>
      <w:r>
        <w:rPr>
          <w:rFonts w:ascii="Times New Roman"/>
          <w:sz w:val="48"/>
        </w:rPr>
        <w:tab/>
      </w:r>
      <w:r>
        <w:rPr>
          <w:rFonts w:ascii="Times New Roman"/>
          <w:sz w:val="48"/>
        </w:rPr>
        <w:tab/>
      </w:r>
      <w:r>
        <w:rPr>
          <w:rFonts w:ascii="Times New Roman"/>
          <w:sz w:val="48"/>
        </w:rPr>
        <w:tab/>
      </w:r>
      <w:r w:rsidR="003A3437">
        <w:rPr>
          <w:rFonts w:ascii="Times New Roman"/>
          <w:sz w:val="32"/>
        </w:rPr>
        <w:t>March</w:t>
      </w:r>
      <w:r w:rsidR="001C06C6">
        <w:rPr>
          <w:rFonts w:ascii="Times New Roman"/>
          <w:sz w:val="32"/>
        </w:rPr>
        <w:t xml:space="preserve"> 2019</w:t>
      </w:r>
      <w:r w:rsidRPr="001C06C6">
        <w:rPr>
          <w:rFonts w:ascii="Times New Roman"/>
          <w:sz w:val="32"/>
        </w:rPr>
        <w:t xml:space="preserve"> </w:t>
      </w:r>
    </w:p>
    <w:p w14:paraId="2B10C390" w14:textId="44814FC0" w:rsidR="00BC70F2" w:rsidRDefault="00BC70F2">
      <w:pPr>
        <w:pStyle w:val="BodyText"/>
        <w:spacing w:before="5"/>
        <w:rPr>
          <w:rFonts w:ascii="Times New Roman"/>
          <w:sz w:val="51"/>
        </w:rPr>
      </w:pPr>
    </w:p>
    <w:p w14:paraId="2FDD5F2E" w14:textId="77777777" w:rsidR="00A96F68" w:rsidRDefault="00A96F68">
      <w:pPr>
        <w:pStyle w:val="BodyText"/>
        <w:spacing w:before="5"/>
        <w:rPr>
          <w:rFonts w:ascii="Times New Roman"/>
          <w:sz w:val="51"/>
        </w:rPr>
      </w:pPr>
    </w:p>
    <w:p w14:paraId="3D2B424E" w14:textId="069EB4E1" w:rsidR="00BC70F2" w:rsidRPr="00E37713" w:rsidRDefault="00AD6CED">
      <w:pPr>
        <w:ind w:left="106"/>
        <w:rPr>
          <w:rFonts w:ascii="Times New Roman"/>
          <w:b/>
          <w:sz w:val="44"/>
        </w:rPr>
      </w:pPr>
      <w:r w:rsidRPr="00E37713">
        <w:rPr>
          <w:rFonts w:ascii="Times New Roman"/>
          <w:b/>
          <w:color w:val="8796A0"/>
          <w:sz w:val="44"/>
        </w:rPr>
        <w:t>TIC COUNCIL</w:t>
      </w:r>
    </w:p>
    <w:p w14:paraId="3F9B7FC1" w14:textId="7A4D7388" w:rsidR="00BC70F2" w:rsidRDefault="00AD6CED" w:rsidP="00A3058E">
      <w:pPr>
        <w:tabs>
          <w:tab w:val="left" w:pos="6657"/>
        </w:tabs>
        <w:spacing w:before="344"/>
        <w:ind w:left="106" w:right="-610"/>
        <w:rPr>
          <w:rFonts w:ascii="Times New Roman"/>
          <w:color w:val="2189A0"/>
          <w:sz w:val="84"/>
        </w:rPr>
      </w:pPr>
      <w:r>
        <w:rPr>
          <w:rFonts w:ascii="Times New Roman"/>
          <w:color w:val="2189A0"/>
          <w:spacing w:val="-4"/>
          <w:sz w:val="84"/>
        </w:rPr>
        <w:t xml:space="preserve">Global </w:t>
      </w:r>
      <w:r w:rsidR="00826663">
        <w:rPr>
          <w:rFonts w:ascii="Times New Roman"/>
          <w:color w:val="2189A0"/>
          <w:spacing w:val="-4"/>
          <w:sz w:val="84"/>
        </w:rPr>
        <w:t>Board</w:t>
      </w:r>
      <w:r w:rsidR="00826663">
        <w:rPr>
          <w:rFonts w:ascii="Times New Roman"/>
          <w:color w:val="2189A0"/>
          <w:spacing w:val="-62"/>
          <w:sz w:val="84"/>
        </w:rPr>
        <w:t xml:space="preserve"> </w:t>
      </w:r>
      <w:r w:rsidR="00DD33CA">
        <w:rPr>
          <w:rFonts w:ascii="Times New Roman"/>
          <w:color w:val="2189A0"/>
          <w:sz w:val="84"/>
        </w:rPr>
        <w:t>R</w:t>
      </w:r>
      <w:r w:rsidR="00F118CE">
        <w:rPr>
          <w:rFonts w:ascii="Times New Roman"/>
          <w:color w:val="2189A0"/>
          <w:sz w:val="84"/>
        </w:rPr>
        <w:t>egulation</w:t>
      </w:r>
      <w:r w:rsidR="001478D5">
        <w:rPr>
          <w:rFonts w:ascii="Times New Roman"/>
          <w:color w:val="2189A0"/>
          <w:sz w:val="84"/>
        </w:rPr>
        <w:t xml:space="preserve"> </w:t>
      </w:r>
      <w:r w:rsidR="00DD33CA">
        <w:rPr>
          <w:rFonts w:ascii="Times New Roman"/>
          <w:color w:val="2189A0"/>
          <w:sz w:val="84"/>
        </w:rPr>
        <w:t>One</w:t>
      </w:r>
    </w:p>
    <w:p w14:paraId="4B80EBA6" w14:textId="77777777" w:rsidR="00E779BE" w:rsidRDefault="007E6BC0">
      <w:pPr>
        <w:tabs>
          <w:tab w:val="left" w:pos="6657"/>
        </w:tabs>
        <w:spacing w:before="344"/>
        <w:ind w:left="106"/>
        <w:rPr>
          <w:rFonts w:ascii="Times New Roman"/>
          <w:sz w:val="84"/>
        </w:rPr>
      </w:pPr>
      <w:bookmarkStart w:id="1" w:name="_Hlk527023227"/>
      <w:r>
        <w:rPr>
          <w:rFonts w:ascii="Times New Roman"/>
          <w:sz w:val="84"/>
        </w:rPr>
        <w:t xml:space="preserve">Full </w:t>
      </w:r>
      <w:r w:rsidR="00E779BE">
        <w:rPr>
          <w:rFonts w:ascii="Times New Roman"/>
          <w:sz w:val="84"/>
        </w:rPr>
        <w:t>Membership</w:t>
      </w:r>
    </w:p>
    <w:bookmarkEnd w:id="1"/>
    <w:p w14:paraId="2BDD25A9" w14:textId="77777777" w:rsidR="00BC70F2" w:rsidRDefault="00BC70F2">
      <w:pPr>
        <w:pStyle w:val="BodyText"/>
        <w:rPr>
          <w:rFonts w:ascii="Times New Roman"/>
          <w:sz w:val="92"/>
        </w:rPr>
      </w:pPr>
    </w:p>
    <w:p w14:paraId="5DFA7C84" w14:textId="77777777" w:rsidR="00BC70F2" w:rsidRPr="00E96F83" w:rsidRDefault="00DD33CA" w:rsidP="005F485B">
      <w:pPr>
        <w:pStyle w:val="BodyText"/>
        <w:ind w:left="180"/>
        <w:rPr>
          <w:rFonts w:ascii="Times New Roman"/>
          <w:sz w:val="32"/>
          <w:szCs w:val="32"/>
        </w:rPr>
      </w:pPr>
      <w:r w:rsidRPr="00E96F83">
        <w:rPr>
          <w:rFonts w:ascii="Times New Roman"/>
          <w:sz w:val="32"/>
          <w:szCs w:val="32"/>
        </w:rPr>
        <w:t>Version 1</w:t>
      </w:r>
    </w:p>
    <w:bookmarkEnd w:id="0"/>
    <w:p w14:paraId="6D87AFAA" w14:textId="77777777" w:rsidR="00BC70F2" w:rsidRDefault="00BC70F2">
      <w:pPr>
        <w:pStyle w:val="BodyText"/>
        <w:rPr>
          <w:rFonts w:ascii="Times New Roman"/>
          <w:sz w:val="92"/>
        </w:rPr>
      </w:pPr>
    </w:p>
    <w:p w14:paraId="096AF330" w14:textId="77777777" w:rsidR="00BC70F2" w:rsidRDefault="00BC70F2">
      <w:pPr>
        <w:pStyle w:val="BodyText"/>
        <w:rPr>
          <w:rFonts w:ascii="Times New Roman"/>
          <w:sz w:val="92"/>
        </w:rPr>
      </w:pPr>
    </w:p>
    <w:p w14:paraId="6700379A" w14:textId="77777777" w:rsidR="00BC70F2" w:rsidRDefault="00BC70F2">
      <w:pPr>
        <w:pStyle w:val="BodyText"/>
        <w:rPr>
          <w:rFonts w:ascii="Times New Roman"/>
          <w:sz w:val="92"/>
        </w:rPr>
      </w:pPr>
    </w:p>
    <w:p w14:paraId="0E61ED82" w14:textId="77777777" w:rsidR="00BC70F2" w:rsidRDefault="00BC70F2">
      <w:pPr>
        <w:pStyle w:val="BodyText"/>
        <w:rPr>
          <w:rFonts w:ascii="Times New Roman"/>
          <w:sz w:val="92"/>
        </w:rPr>
      </w:pPr>
    </w:p>
    <w:p w14:paraId="3A213A0B" w14:textId="266977D7" w:rsidR="00BC70F2" w:rsidRDefault="00BC70F2" w:rsidP="00222845">
      <w:pPr>
        <w:pStyle w:val="BodyText"/>
        <w:spacing w:before="5"/>
        <w:jc w:val="center"/>
        <w:rPr>
          <w:rFonts w:ascii="Times New Roman"/>
          <w:sz w:val="78"/>
        </w:rPr>
      </w:pPr>
    </w:p>
    <w:p w14:paraId="37273E7C" w14:textId="7794EA8B" w:rsidR="00222845" w:rsidRDefault="00222845">
      <w:pPr>
        <w:pStyle w:val="BodyText"/>
        <w:spacing w:before="5"/>
        <w:rPr>
          <w:rFonts w:ascii="Times New Roman"/>
          <w:sz w:val="78"/>
        </w:rPr>
      </w:pPr>
    </w:p>
    <w:p w14:paraId="26F6CBFC" w14:textId="5BCCA7E4" w:rsidR="00222845" w:rsidRDefault="00222845">
      <w:pPr>
        <w:pStyle w:val="BodyText"/>
        <w:spacing w:before="5"/>
        <w:rPr>
          <w:rFonts w:ascii="Times New Roman"/>
          <w:sz w:val="78"/>
        </w:rPr>
      </w:pPr>
    </w:p>
    <w:p w14:paraId="5551CE16" w14:textId="77777777" w:rsidR="00E37713" w:rsidRDefault="00E37713">
      <w:pPr>
        <w:pStyle w:val="BodyText"/>
        <w:spacing w:before="5"/>
        <w:rPr>
          <w:rFonts w:ascii="Times New Roman"/>
          <w:sz w:val="78"/>
        </w:rPr>
      </w:pPr>
    </w:p>
    <w:p w14:paraId="27BC8A32" w14:textId="64B22BA7" w:rsidR="00BC70F2" w:rsidRDefault="00F118CE">
      <w:pPr>
        <w:ind w:left="106"/>
        <w:rPr>
          <w:rFonts w:ascii="Times New Roman" w:hAnsi="Times New Roman"/>
          <w:sz w:val="18"/>
        </w:rPr>
      </w:pPr>
      <w:r>
        <w:rPr>
          <w:rFonts w:ascii="Times New Roman" w:hAnsi="Times New Roman"/>
          <w:color w:val="8796A0"/>
          <w:sz w:val="18"/>
        </w:rPr>
        <w:t xml:space="preserve">© Copyright </w:t>
      </w:r>
      <w:r w:rsidR="00AD6CED">
        <w:rPr>
          <w:rFonts w:ascii="Times New Roman" w:hAnsi="Times New Roman"/>
          <w:color w:val="8796A0"/>
          <w:sz w:val="18"/>
        </w:rPr>
        <w:t>TIC COUNCIL</w:t>
      </w:r>
      <w:r w:rsidRPr="00AD6CED">
        <w:rPr>
          <w:rFonts w:ascii="Times New Roman" w:hAnsi="Times New Roman"/>
          <w:color w:val="8796A0"/>
          <w:sz w:val="18"/>
        </w:rPr>
        <w:t>.</w:t>
      </w:r>
      <w:r>
        <w:rPr>
          <w:rFonts w:ascii="Times New Roman" w:hAnsi="Times New Roman"/>
          <w:color w:val="8796A0"/>
          <w:sz w:val="18"/>
        </w:rPr>
        <w:t xml:space="preserve"> All rights reserved</w:t>
      </w:r>
    </w:p>
    <w:p w14:paraId="070E5D9C" w14:textId="77777777" w:rsidR="00BC70F2" w:rsidRDefault="00BC70F2">
      <w:pPr>
        <w:rPr>
          <w:rFonts w:ascii="Times New Roman" w:hAnsi="Times New Roman"/>
          <w:sz w:val="18"/>
        </w:rPr>
        <w:sectPr w:rsidR="00BC70F2">
          <w:type w:val="continuous"/>
          <w:pgSz w:w="11940" w:h="16850"/>
          <w:pgMar w:top="180" w:right="1680" w:bottom="280" w:left="700" w:header="720" w:footer="720" w:gutter="0"/>
          <w:cols w:space="720"/>
        </w:sectPr>
      </w:pPr>
    </w:p>
    <w:p w14:paraId="3EBD77AA" w14:textId="25378A5B" w:rsidR="00BC70F2" w:rsidRDefault="007E6BC0">
      <w:pPr>
        <w:pStyle w:val="Heading2"/>
        <w:spacing w:before="92"/>
      </w:pPr>
      <w:r>
        <w:rPr>
          <w:color w:val="30849A"/>
        </w:rPr>
        <w:lastRenderedPageBreak/>
        <w:t xml:space="preserve">Full </w:t>
      </w:r>
      <w:r w:rsidR="00A2576B">
        <w:rPr>
          <w:color w:val="30849A"/>
        </w:rPr>
        <w:t xml:space="preserve">Members: </w:t>
      </w:r>
      <w:r w:rsidR="00F118CE">
        <w:rPr>
          <w:color w:val="30849A"/>
        </w:rPr>
        <w:t>Membership Criteria and Application Proce</w:t>
      </w:r>
      <w:r w:rsidR="00A2576B">
        <w:rPr>
          <w:color w:val="30849A"/>
        </w:rPr>
        <w:t>ss</w:t>
      </w:r>
    </w:p>
    <w:p w14:paraId="05A49665" w14:textId="77777777" w:rsidR="00BC70F2" w:rsidRDefault="00BC70F2">
      <w:pPr>
        <w:pStyle w:val="BodyText"/>
        <w:spacing w:before="2"/>
        <w:rPr>
          <w:b/>
          <w:sz w:val="26"/>
        </w:rPr>
      </w:pPr>
    </w:p>
    <w:p w14:paraId="162A5345" w14:textId="795BE133" w:rsidR="00BC70F2" w:rsidRDefault="00F118CE" w:rsidP="003D42C5">
      <w:pPr>
        <w:spacing w:before="1" w:line="237" w:lineRule="auto"/>
        <w:ind w:left="100" w:right="40"/>
        <w:rPr>
          <w:b/>
          <w:sz w:val="28"/>
        </w:rPr>
      </w:pPr>
      <w:r>
        <w:rPr>
          <w:b/>
          <w:color w:val="30849A"/>
          <w:sz w:val="28"/>
        </w:rPr>
        <w:t>Regulation 1 made by the</w:t>
      </w:r>
      <w:r w:rsidR="00263A37">
        <w:rPr>
          <w:b/>
          <w:color w:val="30849A"/>
          <w:sz w:val="28"/>
        </w:rPr>
        <w:t xml:space="preserve"> Global</w:t>
      </w:r>
      <w:r>
        <w:rPr>
          <w:b/>
          <w:color w:val="30849A"/>
          <w:sz w:val="28"/>
        </w:rPr>
        <w:t xml:space="preserve"> </w:t>
      </w:r>
      <w:r w:rsidR="00826663">
        <w:rPr>
          <w:b/>
          <w:color w:val="30849A"/>
          <w:sz w:val="28"/>
        </w:rPr>
        <w:t xml:space="preserve">Board </w:t>
      </w:r>
      <w:r>
        <w:rPr>
          <w:b/>
          <w:color w:val="30849A"/>
          <w:sz w:val="28"/>
        </w:rPr>
        <w:t xml:space="preserve">Pursuant to Article </w:t>
      </w:r>
      <w:r w:rsidR="00DD33CA">
        <w:rPr>
          <w:b/>
          <w:color w:val="30849A"/>
          <w:sz w:val="28"/>
        </w:rPr>
        <w:t>13.1</w:t>
      </w:r>
      <w:r w:rsidR="00195FB3">
        <w:rPr>
          <w:b/>
          <w:color w:val="30849A"/>
          <w:sz w:val="28"/>
        </w:rPr>
        <w:t xml:space="preserve">.j. </w:t>
      </w:r>
      <w:r w:rsidR="00DD33CA">
        <w:rPr>
          <w:b/>
          <w:color w:val="30849A"/>
          <w:spacing w:val="-52"/>
          <w:sz w:val="28"/>
        </w:rPr>
        <w:t xml:space="preserve"> </w:t>
      </w:r>
      <w:r>
        <w:rPr>
          <w:b/>
          <w:color w:val="30849A"/>
          <w:sz w:val="28"/>
        </w:rPr>
        <w:t xml:space="preserve">of the Articles of </w:t>
      </w:r>
      <w:r w:rsidRPr="00200EBB">
        <w:rPr>
          <w:b/>
          <w:color w:val="30849A"/>
          <w:sz w:val="28"/>
        </w:rPr>
        <w:t xml:space="preserve">Association on </w:t>
      </w:r>
      <w:r w:rsidR="00200EBB">
        <w:rPr>
          <w:b/>
          <w:color w:val="30849A"/>
          <w:sz w:val="28"/>
        </w:rPr>
        <w:t>2</w:t>
      </w:r>
      <w:r w:rsidR="003A3437">
        <w:rPr>
          <w:b/>
          <w:color w:val="30849A"/>
          <w:sz w:val="28"/>
        </w:rPr>
        <w:t>7</w:t>
      </w:r>
      <w:r w:rsidR="00DD33CA" w:rsidRPr="00200EBB">
        <w:rPr>
          <w:b/>
          <w:color w:val="30849A"/>
          <w:sz w:val="28"/>
        </w:rPr>
        <w:t xml:space="preserve"> </w:t>
      </w:r>
      <w:r w:rsidR="003A3437">
        <w:rPr>
          <w:b/>
          <w:color w:val="30849A"/>
          <w:sz w:val="28"/>
        </w:rPr>
        <w:t>March</w:t>
      </w:r>
      <w:r w:rsidR="001C06C6">
        <w:rPr>
          <w:b/>
          <w:color w:val="30849A"/>
          <w:sz w:val="28"/>
        </w:rPr>
        <w:t xml:space="preserve"> 2019</w:t>
      </w:r>
      <w:r w:rsidR="00DD33CA">
        <w:rPr>
          <w:b/>
          <w:color w:val="30849A"/>
          <w:sz w:val="28"/>
        </w:rPr>
        <w:t xml:space="preserve"> </w:t>
      </w:r>
    </w:p>
    <w:p w14:paraId="70C948D8" w14:textId="77777777" w:rsidR="00BC70F2" w:rsidRDefault="00BC70F2">
      <w:pPr>
        <w:pStyle w:val="BodyText"/>
        <w:rPr>
          <w:b/>
          <w:sz w:val="32"/>
        </w:rPr>
      </w:pPr>
    </w:p>
    <w:p w14:paraId="74FC6AF2" w14:textId="77777777" w:rsidR="00BC70F2" w:rsidRDefault="00F118CE">
      <w:pPr>
        <w:spacing w:before="275"/>
        <w:ind w:left="100"/>
        <w:rPr>
          <w:b/>
          <w:sz w:val="32"/>
        </w:rPr>
      </w:pPr>
      <w:r>
        <w:rPr>
          <w:b/>
          <w:color w:val="808080"/>
          <w:sz w:val="32"/>
        </w:rPr>
        <w:t>Part One</w:t>
      </w:r>
    </w:p>
    <w:p w14:paraId="14191A53" w14:textId="68957676" w:rsidR="00BC70F2" w:rsidRPr="001C06C6" w:rsidRDefault="00F118CE" w:rsidP="001C06C6">
      <w:pPr>
        <w:pStyle w:val="Heading3"/>
        <w:numPr>
          <w:ilvl w:val="1"/>
          <w:numId w:val="2"/>
        </w:numPr>
        <w:tabs>
          <w:tab w:val="left" w:pos="669"/>
          <w:tab w:val="left" w:pos="670"/>
        </w:tabs>
        <w:spacing w:before="323"/>
        <w:ind w:hanging="569"/>
      </w:pPr>
      <w:r>
        <w:rPr>
          <w:color w:val="808080"/>
        </w:rPr>
        <w:t>Definitions</w:t>
      </w:r>
    </w:p>
    <w:p w14:paraId="22139BB3" w14:textId="37B7F91A" w:rsidR="00BC70F2" w:rsidRDefault="00FC5EEB">
      <w:pPr>
        <w:pStyle w:val="BodyText"/>
        <w:ind w:left="669" w:right="119"/>
        <w:jc w:val="both"/>
      </w:pPr>
      <w:r>
        <w:t xml:space="preserve">The same definitions as in the Articles of Association of the </w:t>
      </w:r>
      <w:r w:rsidR="00851FEA">
        <w:t>TIC Council</w:t>
      </w:r>
      <w:r>
        <w:t xml:space="preserve"> apply</w:t>
      </w:r>
      <w:r w:rsidR="00F118CE">
        <w:t>.</w:t>
      </w:r>
    </w:p>
    <w:p w14:paraId="6548E8AF" w14:textId="77777777" w:rsidR="00BC70F2" w:rsidRPr="00C602EA" w:rsidRDefault="00BC70F2">
      <w:pPr>
        <w:pStyle w:val="BodyText"/>
      </w:pPr>
    </w:p>
    <w:p w14:paraId="3913666E" w14:textId="77777777" w:rsidR="00BC70F2" w:rsidRPr="00C602EA" w:rsidRDefault="00BC70F2">
      <w:pPr>
        <w:pStyle w:val="BodyText"/>
      </w:pPr>
    </w:p>
    <w:p w14:paraId="5BCA02F6" w14:textId="3D724A6A" w:rsidR="001C06C6" w:rsidRPr="001C06C6" w:rsidRDefault="00F118CE" w:rsidP="001C06C6">
      <w:pPr>
        <w:pStyle w:val="Heading3"/>
        <w:numPr>
          <w:ilvl w:val="1"/>
          <w:numId w:val="2"/>
        </w:numPr>
        <w:tabs>
          <w:tab w:val="left" w:pos="669"/>
          <w:tab w:val="left" w:pos="670"/>
        </w:tabs>
        <w:ind w:hanging="569"/>
      </w:pPr>
      <w:r>
        <w:rPr>
          <w:color w:val="808080"/>
        </w:rPr>
        <w:t>Members</w:t>
      </w:r>
    </w:p>
    <w:p w14:paraId="09096308" w14:textId="77777777" w:rsidR="00B4188B" w:rsidRDefault="007E6BC0" w:rsidP="00B4188B">
      <w:pPr>
        <w:pStyle w:val="ListParagraph"/>
        <w:numPr>
          <w:ilvl w:val="2"/>
          <w:numId w:val="2"/>
        </w:numPr>
        <w:tabs>
          <w:tab w:val="left" w:pos="670"/>
        </w:tabs>
        <w:ind w:right="119" w:hanging="569"/>
        <w:rPr>
          <w:sz w:val="24"/>
        </w:rPr>
      </w:pPr>
      <w:r>
        <w:rPr>
          <w:sz w:val="24"/>
        </w:rPr>
        <w:t xml:space="preserve">Full </w:t>
      </w:r>
      <w:r w:rsidR="00B4188B">
        <w:rPr>
          <w:sz w:val="24"/>
        </w:rPr>
        <w:t>Membership</w:t>
      </w:r>
    </w:p>
    <w:p w14:paraId="7CA3F013" w14:textId="3153FC78" w:rsidR="00500BC1" w:rsidRPr="00500BC1" w:rsidRDefault="00500BC1" w:rsidP="00B4188B">
      <w:pPr>
        <w:pStyle w:val="ListParagraph"/>
        <w:tabs>
          <w:tab w:val="left" w:pos="670"/>
        </w:tabs>
        <w:ind w:right="119" w:firstLine="0"/>
        <w:rPr>
          <w:sz w:val="24"/>
        </w:rPr>
      </w:pPr>
      <w:r w:rsidRPr="00500BC1">
        <w:rPr>
          <w:sz w:val="24"/>
        </w:rPr>
        <w:t>A Members shall be a legal entity as defined in Article 6.1 of the Articles of Association engaged in carrying on the business of the Profession as defined in Article 4.1 of the Articles of Association.</w:t>
      </w:r>
    </w:p>
    <w:p w14:paraId="0A2DD963" w14:textId="77777777" w:rsidR="00BC70F2" w:rsidRDefault="00BC70F2">
      <w:pPr>
        <w:pStyle w:val="BodyText"/>
        <w:rPr>
          <w:b/>
        </w:rPr>
      </w:pPr>
    </w:p>
    <w:p w14:paraId="1BF96C4E" w14:textId="77777777" w:rsidR="00B4188B" w:rsidRDefault="00B4188B">
      <w:pPr>
        <w:pStyle w:val="ListParagraph"/>
        <w:numPr>
          <w:ilvl w:val="2"/>
          <w:numId w:val="2"/>
        </w:numPr>
        <w:tabs>
          <w:tab w:val="left" w:pos="670"/>
        </w:tabs>
        <w:ind w:hanging="569"/>
        <w:rPr>
          <w:sz w:val="24"/>
        </w:rPr>
      </w:pPr>
      <w:r>
        <w:rPr>
          <w:sz w:val="24"/>
        </w:rPr>
        <w:t>Categories</w:t>
      </w:r>
    </w:p>
    <w:p w14:paraId="4ABCAECC" w14:textId="27DC28BF" w:rsidR="00BC70F2" w:rsidRDefault="00F118CE" w:rsidP="001478D5">
      <w:pPr>
        <w:pStyle w:val="ListParagraph"/>
        <w:tabs>
          <w:tab w:val="left" w:pos="670"/>
        </w:tabs>
        <w:ind w:firstLine="0"/>
        <w:rPr>
          <w:sz w:val="24"/>
        </w:rPr>
      </w:pPr>
      <w:r>
        <w:rPr>
          <w:sz w:val="24"/>
        </w:rPr>
        <w:t xml:space="preserve">There are </w:t>
      </w:r>
      <w:r w:rsidR="00FD71FF">
        <w:rPr>
          <w:sz w:val="24"/>
        </w:rPr>
        <w:t>three</w:t>
      </w:r>
      <w:r>
        <w:rPr>
          <w:sz w:val="24"/>
        </w:rPr>
        <w:t xml:space="preserve"> categories of Member</w:t>
      </w:r>
      <w:r w:rsidR="00633E7B">
        <w:rPr>
          <w:sz w:val="24"/>
        </w:rPr>
        <w:t>s</w:t>
      </w:r>
      <w:r>
        <w:rPr>
          <w:sz w:val="24"/>
        </w:rPr>
        <w:t xml:space="preserve"> as set out in </w:t>
      </w:r>
      <w:r w:rsidRPr="005C2F7A">
        <w:rPr>
          <w:sz w:val="24"/>
        </w:rPr>
        <w:t xml:space="preserve">Article </w:t>
      </w:r>
      <w:r w:rsidR="00CD4D75" w:rsidRPr="005C2F7A">
        <w:rPr>
          <w:sz w:val="24"/>
        </w:rPr>
        <w:t>7</w:t>
      </w:r>
      <w:r w:rsidR="00051C7D" w:rsidRPr="004871E4">
        <w:rPr>
          <w:sz w:val="24"/>
        </w:rPr>
        <w:t>.1</w:t>
      </w:r>
      <w:r w:rsidR="005C2F7A">
        <w:rPr>
          <w:spacing w:val="-12"/>
          <w:sz w:val="24"/>
        </w:rPr>
        <w:t xml:space="preserve"> of the Articles of Association </w:t>
      </w:r>
      <w:r w:rsidR="001478D5">
        <w:rPr>
          <w:sz w:val="24"/>
        </w:rPr>
        <w:t xml:space="preserve">namely: </w:t>
      </w:r>
    </w:p>
    <w:p w14:paraId="438AA65F" w14:textId="77777777" w:rsidR="00BC70F2" w:rsidRDefault="00BC70F2">
      <w:pPr>
        <w:pStyle w:val="BodyText"/>
        <w:spacing w:before="1"/>
      </w:pPr>
    </w:p>
    <w:p w14:paraId="391D5152" w14:textId="13A2E0B1" w:rsidR="000A51A7" w:rsidRDefault="000A51A7" w:rsidP="000A51A7">
      <w:pPr>
        <w:pStyle w:val="ListParagraph"/>
        <w:numPr>
          <w:ilvl w:val="0"/>
          <w:numId w:val="3"/>
        </w:numPr>
        <w:rPr>
          <w:sz w:val="24"/>
        </w:rPr>
      </w:pPr>
      <w:bookmarkStart w:id="2" w:name="_Hlk528579536"/>
      <w:r w:rsidRPr="000A51A7">
        <w:rPr>
          <w:sz w:val="24"/>
        </w:rPr>
        <w:t>Members whose annual turnover from activ</w:t>
      </w:r>
      <w:r w:rsidR="009063FA">
        <w:rPr>
          <w:sz w:val="24"/>
        </w:rPr>
        <w:t>ities relevant to the</w:t>
      </w:r>
      <w:r w:rsidR="00851FEA">
        <w:rPr>
          <w:sz w:val="24"/>
        </w:rPr>
        <w:t xml:space="preserve"> TIC Council</w:t>
      </w:r>
      <w:r w:rsidR="009063FA">
        <w:rPr>
          <w:sz w:val="24"/>
        </w:rPr>
        <w:t xml:space="preserve"> </w:t>
      </w:r>
      <w:r w:rsidRPr="000A51A7">
        <w:rPr>
          <w:sz w:val="24"/>
        </w:rPr>
        <w:t>(“Relevant Turnover”) exceeds Euros 2.500.000.000 shall be A1 Members, Members whose Relevant Turnover is less than or equal to Euros 2.500.000.000 and more than Euros 1.000.000.000 shall be A2 Members, and Members whose Relevant Turnover is less than or equal to Euros 1.000.000.000 and more than Euros 700,000,000 shall be A3 Members.  All A Members shall have voting rights as described in article 12.8.2.1</w:t>
      </w:r>
      <w:r w:rsidR="00FD71FF">
        <w:rPr>
          <w:sz w:val="24"/>
        </w:rPr>
        <w:t xml:space="preserve"> of the Articles of Association</w:t>
      </w:r>
      <w:r w:rsidRPr="000A51A7">
        <w:rPr>
          <w:sz w:val="24"/>
        </w:rPr>
        <w:t>.</w:t>
      </w:r>
    </w:p>
    <w:p w14:paraId="34C58338" w14:textId="77777777" w:rsidR="000A51A7" w:rsidRPr="000A51A7" w:rsidRDefault="000A51A7" w:rsidP="000A51A7">
      <w:pPr>
        <w:pStyle w:val="ListParagraph"/>
        <w:ind w:left="744" w:firstLine="0"/>
        <w:rPr>
          <w:sz w:val="24"/>
        </w:rPr>
      </w:pPr>
    </w:p>
    <w:p w14:paraId="1847B950" w14:textId="03EC4E7A" w:rsidR="000A51A7" w:rsidRDefault="000A51A7" w:rsidP="005778C5">
      <w:pPr>
        <w:numPr>
          <w:ilvl w:val="0"/>
          <w:numId w:val="3"/>
        </w:numPr>
        <w:jc w:val="both"/>
        <w:rPr>
          <w:sz w:val="24"/>
          <w:szCs w:val="24"/>
        </w:rPr>
      </w:pPr>
      <w:r w:rsidRPr="000A51A7">
        <w:rPr>
          <w:sz w:val="24"/>
          <w:szCs w:val="24"/>
        </w:rPr>
        <w:t>Members whose Relevant Turnover is less than or equal to Euros 700.000.000 but is more than Euros 400,000,000 shall be B1 Members, Members whose Relevant Turnover is less than or equal to Euros 400.000.000 and more than Euros 100.000.000 shall be B2 Members. All B Members shall have voting rights as described in article 12.8.2.1</w:t>
      </w:r>
      <w:r w:rsidR="00FD71FF">
        <w:rPr>
          <w:sz w:val="24"/>
          <w:szCs w:val="24"/>
        </w:rPr>
        <w:t xml:space="preserve"> of the Articles of Association</w:t>
      </w:r>
      <w:r w:rsidRPr="000A51A7">
        <w:rPr>
          <w:sz w:val="24"/>
          <w:szCs w:val="24"/>
        </w:rPr>
        <w:t>.</w:t>
      </w:r>
    </w:p>
    <w:p w14:paraId="129CEDDC" w14:textId="77777777" w:rsidR="000A51A7" w:rsidRDefault="000A51A7" w:rsidP="000A51A7">
      <w:pPr>
        <w:pStyle w:val="ListParagraph"/>
        <w:rPr>
          <w:sz w:val="24"/>
          <w:szCs w:val="24"/>
        </w:rPr>
      </w:pPr>
    </w:p>
    <w:p w14:paraId="4350D061" w14:textId="22F142E9" w:rsidR="00BC70F2" w:rsidRPr="001C06C6" w:rsidRDefault="000A51A7" w:rsidP="001C06C6">
      <w:pPr>
        <w:numPr>
          <w:ilvl w:val="0"/>
          <w:numId w:val="3"/>
        </w:numPr>
        <w:jc w:val="both"/>
        <w:rPr>
          <w:sz w:val="24"/>
          <w:szCs w:val="24"/>
        </w:rPr>
      </w:pPr>
      <w:r w:rsidRPr="000A51A7">
        <w:rPr>
          <w:sz w:val="24"/>
          <w:szCs w:val="24"/>
        </w:rPr>
        <w:t>Members whose Relevant Turnover is less than or equal to Euros 100.000.000 and more than Euros 10.000.000 shall be C1 Members, Members whose Relevant Turnover is less than or equal to Euros 10.000.000 shall be C2 Members. All C Members shall have voting rights as described in article 12.8.2.1</w:t>
      </w:r>
      <w:r w:rsidR="00FD71FF">
        <w:rPr>
          <w:sz w:val="24"/>
          <w:szCs w:val="24"/>
        </w:rPr>
        <w:t xml:space="preserve"> of the Articles of Association</w:t>
      </w:r>
      <w:r w:rsidRPr="000A51A7">
        <w:rPr>
          <w:sz w:val="24"/>
          <w:szCs w:val="24"/>
        </w:rPr>
        <w:t>.</w:t>
      </w:r>
      <w:bookmarkEnd w:id="2"/>
    </w:p>
    <w:p w14:paraId="08C30795" w14:textId="77777777" w:rsidR="001C06C6" w:rsidRPr="00C602EA" w:rsidRDefault="001C06C6">
      <w:pPr>
        <w:pStyle w:val="BodyText"/>
      </w:pPr>
    </w:p>
    <w:p w14:paraId="0E56E3DF" w14:textId="77777777" w:rsidR="00BC70F2" w:rsidRPr="00C602EA" w:rsidRDefault="00BC70F2">
      <w:pPr>
        <w:pStyle w:val="BodyText"/>
        <w:spacing w:before="11"/>
      </w:pPr>
    </w:p>
    <w:p w14:paraId="17A533C6" w14:textId="75DC03B2" w:rsidR="00BC70F2" w:rsidRPr="001C06C6" w:rsidRDefault="00F118CE" w:rsidP="001C06C6">
      <w:pPr>
        <w:pStyle w:val="Heading3"/>
        <w:numPr>
          <w:ilvl w:val="1"/>
          <w:numId w:val="2"/>
        </w:numPr>
        <w:tabs>
          <w:tab w:val="left" w:pos="669"/>
          <w:tab w:val="left" w:pos="670"/>
        </w:tabs>
        <w:ind w:hanging="569"/>
      </w:pPr>
      <w:r>
        <w:rPr>
          <w:color w:val="808080"/>
        </w:rPr>
        <w:t>Criteria for Membership</w:t>
      </w:r>
    </w:p>
    <w:p w14:paraId="37C001D4" w14:textId="5AE40480" w:rsidR="00BC70F2" w:rsidRDefault="00F118CE">
      <w:pPr>
        <w:pStyle w:val="ListParagraph"/>
        <w:numPr>
          <w:ilvl w:val="2"/>
          <w:numId w:val="2"/>
        </w:numPr>
        <w:tabs>
          <w:tab w:val="left" w:pos="670"/>
        </w:tabs>
        <w:ind w:right="115" w:hanging="569"/>
        <w:rPr>
          <w:sz w:val="24"/>
        </w:rPr>
      </w:pPr>
      <w:r>
        <w:rPr>
          <w:sz w:val="24"/>
        </w:rPr>
        <w:t xml:space="preserve">Upon admission to membership and </w:t>
      </w:r>
      <w:proofErr w:type="gramStart"/>
      <w:r>
        <w:rPr>
          <w:sz w:val="24"/>
        </w:rPr>
        <w:t>at all times</w:t>
      </w:r>
      <w:proofErr w:type="gramEnd"/>
      <w:r>
        <w:rPr>
          <w:sz w:val="24"/>
        </w:rPr>
        <w:t xml:space="preserve"> thereafter the Member shall meet, and continue to comply with, the</w:t>
      </w:r>
      <w:r w:rsidR="00851FEA">
        <w:rPr>
          <w:sz w:val="24"/>
        </w:rPr>
        <w:t xml:space="preserve"> TIC Council</w:t>
      </w:r>
      <w:r>
        <w:rPr>
          <w:sz w:val="24"/>
        </w:rPr>
        <w:t xml:space="preserve"> Membership Requirements set out in Part 2 of this Regulation.</w:t>
      </w:r>
    </w:p>
    <w:p w14:paraId="5C13061E" w14:textId="77777777" w:rsidR="00BC70F2" w:rsidRDefault="00BC70F2">
      <w:pPr>
        <w:pStyle w:val="BodyText"/>
      </w:pPr>
    </w:p>
    <w:p w14:paraId="60DEA083" w14:textId="3159B6F0" w:rsidR="00BC70F2" w:rsidRDefault="00F118CE">
      <w:pPr>
        <w:pStyle w:val="ListParagraph"/>
        <w:numPr>
          <w:ilvl w:val="2"/>
          <w:numId w:val="2"/>
        </w:numPr>
        <w:tabs>
          <w:tab w:val="left" w:pos="670"/>
        </w:tabs>
        <w:ind w:right="117" w:hanging="569"/>
        <w:rPr>
          <w:sz w:val="24"/>
        </w:rPr>
      </w:pPr>
      <w:r>
        <w:rPr>
          <w:sz w:val="24"/>
        </w:rPr>
        <w:lastRenderedPageBreak/>
        <w:t xml:space="preserve">The </w:t>
      </w:r>
      <w:r w:rsidR="00263A37">
        <w:rPr>
          <w:sz w:val="24"/>
        </w:rPr>
        <w:t xml:space="preserve">Global </w:t>
      </w:r>
      <w:r w:rsidR="000750C8" w:rsidRPr="00B137B1">
        <w:rPr>
          <w:sz w:val="24"/>
        </w:rPr>
        <w:t xml:space="preserve">Board </w:t>
      </w:r>
      <w:r w:rsidRPr="00B137B1">
        <w:rPr>
          <w:sz w:val="24"/>
        </w:rPr>
        <w:t>shall exercise its</w:t>
      </w:r>
      <w:r w:rsidR="00FD71FF">
        <w:rPr>
          <w:sz w:val="24"/>
        </w:rPr>
        <w:t xml:space="preserve"> reasonable</w:t>
      </w:r>
      <w:r w:rsidRPr="00B137B1">
        <w:rPr>
          <w:sz w:val="24"/>
        </w:rPr>
        <w:t xml:space="preserve"> discretion in</w:t>
      </w:r>
      <w:r>
        <w:rPr>
          <w:sz w:val="24"/>
        </w:rPr>
        <w:t xml:space="preserve"> determining the degree of ownership or control which is relevant for the purposes of Requirements 2.</w:t>
      </w:r>
      <w:r w:rsidR="00BE2313">
        <w:rPr>
          <w:sz w:val="24"/>
        </w:rPr>
        <w:t>5</w:t>
      </w:r>
      <w:r w:rsidR="00704475">
        <w:rPr>
          <w:sz w:val="24"/>
        </w:rPr>
        <w:t>,</w:t>
      </w:r>
      <w:r>
        <w:rPr>
          <w:sz w:val="24"/>
        </w:rPr>
        <w:t xml:space="preserve"> 2.</w:t>
      </w:r>
      <w:r w:rsidR="00BE2313">
        <w:rPr>
          <w:sz w:val="24"/>
        </w:rPr>
        <w:t>6</w:t>
      </w:r>
      <w:r w:rsidR="00704475">
        <w:rPr>
          <w:sz w:val="24"/>
        </w:rPr>
        <w:t xml:space="preserve"> and 2.</w:t>
      </w:r>
      <w:r w:rsidR="00BE2313">
        <w:rPr>
          <w:sz w:val="24"/>
        </w:rPr>
        <w:t>7</w:t>
      </w:r>
      <w:r w:rsidR="001C06C6">
        <w:rPr>
          <w:sz w:val="24"/>
        </w:rPr>
        <w:t xml:space="preserve"> </w:t>
      </w:r>
      <w:r>
        <w:rPr>
          <w:sz w:val="24"/>
        </w:rPr>
        <w:t>taking into account common ownership or directors,</w:t>
      </w:r>
      <w:r w:rsidR="00AF0EA5">
        <w:rPr>
          <w:sz w:val="24"/>
        </w:rPr>
        <w:t xml:space="preserve"> </w:t>
      </w:r>
      <w:r>
        <w:rPr>
          <w:sz w:val="24"/>
        </w:rPr>
        <w:t>contractual arrangements, confusing common names, informal understandings or other means by which interested parties may have the ability to influence the outcome of a service provided by a</w:t>
      </w:r>
      <w:r>
        <w:rPr>
          <w:spacing w:val="-3"/>
          <w:sz w:val="24"/>
        </w:rPr>
        <w:t xml:space="preserve"> </w:t>
      </w:r>
      <w:r>
        <w:rPr>
          <w:sz w:val="24"/>
        </w:rPr>
        <w:t>Member.</w:t>
      </w:r>
    </w:p>
    <w:p w14:paraId="513165DE" w14:textId="77777777" w:rsidR="00BC70F2" w:rsidRDefault="00BC70F2">
      <w:pPr>
        <w:pStyle w:val="BodyText"/>
      </w:pPr>
    </w:p>
    <w:p w14:paraId="6F1DD5B4" w14:textId="6C2FD294" w:rsidR="00BC70F2" w:rsidRDefault="00F118CE">
      <w:pPr>
        <w:pStyle w:val="ListParagraph"/>
        <w:numPr>
          <w:ilvl w:val="2"/>
          <w:numId w:val="2"/>
        </w:numPr>
        <w:tabs>
          <w:tab w:val="left" w:pos="670"/>
        </w:tabs>
        <w:spacing w:before="1"/>
        <w:ind w:right="118" w:hanging="569"/>
        <w:rPr>
          <w:sz w:val="24"/>
        </w:rPr>
      </w:pPr>
      <w:r>
        <w:rPr>
          <w:sz w:val="24"/>
        </w:rPr>
        <w:t>In connection with Requirement 2.</w:t>
      </w:r>
      <w:r w:rsidR="00BE2313">
        <w:rPr>
          <w:sz w:val="24"/>
        </w:rPr>
        <w:t>3</w:t>
      </w:r>
      <w:r>
        <w:rPr>
          <w:sz w:val="24"/>
        </w:rPr>
        <w:t xml:space="preserve">, the Member is expected to be able to show what factors have been </w:t>
      </w:r>
      <w:proofErr w:type="gramStart"/>
      <w:r>
        <w:rPr>
          <w:sz w:val="24"/>
        </w:rPr>
        <w:t>taken into account</w:t>
      </w:r>
      <w:proofErr w:type="gramEnd"/>
      <w:r>
        <w:rPr>
          <w:sz w:val="24"/>
        </w:rPr>
        <w:t xml:space="preserve"> when determining t</w:t>
      </w:r>
      <w:bookmarkStart w:id="3" w:name="_GoBack"/>
      <w:bookmarkEnd w:id="3"/>
      <w:r>
        <w:rPr>
          <w:sz w:val="24"/>
        </w:rPr>
        <w:t xml:space="preserve">he necessary level of insurance or alternative coverage. One of the factors that should be </w:t>
      </w:r>
      <w:proofErr w:type="gramStart"/>
      <w:r>
        <w:rPr>
          <w:sz w:val="24"/>
        </w:rPr>
        <w:t>taken into account</w:t>
      </w:r>
      <w:proofErr w:type="gramEnd"/>
      <w:r>
        <w:rPr>
          <w:sz w:val="24"/>
        </w:rPr>
        <w:t xml:space="preserve"> is the risk associated with the performance of the Member’s activities. (</w:t>
      </w:r>
      <w:r w:rsidR="00851FEA">
        <w:rPr>
          <w:sz w:val="24"/>
        </w:rPr>
        <w:t xml:space="preserve">TIC Council </w:t>
      </w:r>
      <w:r>
        <w:rPr>
          <w:sz w:val="24"/>
        </w:rPr>
        <w:t>has no responsibility whatsoever for ensuring that Members are</w:t>
      </w:r>
      <w:r>
        <w:rPr>
          <w:spacing w:val="-13"/>
          <w:sz w:val="24"/>
        </w:rPr>
        <w:t xml:space="preserve"> </w:t>
      </w:r>
      <w:r>
        <w:rPr>
          <w:sz w:val="24"/>
        </w:rPr>
        <w:t>insured.)</w:t>
      </w:r>
    </w:p>
    <w:p w14:paraId="669C5559" w14:textId="77777777" w:rsidR="00BC70F2" w:rsidRPr="00C602EA" w:rsidRDefault="00BC70F2">
      <w:pPr>
        <w:pStyle w:val="BodyText"/>
      </w:pPr>
    </w:p>
    <w:p w14:paraId="16831405" w14:textId="77777777" w:rsidR="00BC70F2" w:rsidRPr="00C602EA" w:rsidRDefault="00BC70F2">
      <w:pPr>
        <w:pStyle w:val="BodyText"/>
      </w:pPr>
    </w:p>
    <w:p w14:paraId="50B23C44" w14:textId="66C984E8" w:rsidR="00BC70F2" w:rsidRPr="001C06C6" w:rsidRDefault="00F118CE" w:rsidP="001C06C6">
      <w:pPr>
        <w:pStyle w:val="Heading3"/>
        <w:numPr>
          <w:ilvl w:val="1"/>
          <w:numId w:val="2"/>
        </w:numPr>
        <w:tabs>
          <w:tab w:val="left" w:pos="670"/>
        </w:tabs>
        <w:ind w:right="118" w:hanging="569"/>
        <w:jc w:val="both"/>
      </w:pPr>
      <w:r w:rsidRPr="007059AC">
        <w:rPr>
          <w:color w:val="808080"/>
        </w:rPr>
        <w:t xml:space="preserve">New Member Applicants </w:t>
      </w:r>
    </w:p>
    <w:p w14:paraId="60BED92A" w14:textId="4120AFEE" w:rsidR="00BC70F2" w:rsidRDefault="00F118CE" w:rsidP="006F0E39">
      <w:pPr>
        <w:pStyle w:val="BodyText"/>
        <w:ind w:left="669" w:right="117"/>
        <w:jc w:val="both"/>
      </w:pPr>
      <w:r>
        <w:t xml:space="preserve">In applying for membership in accordance with paragraph 1.6 below a new applicant will need to demonstrate compliance with </w:t>
      </w:r>
      <w:proofErr w:type="gramStart"/>
      <w:r>
        <w:t>all of</w:t>
      </w:r>
      <w:proofErr w:type="gramEnd"/>
      <w:r>
        <w:t xml:space="preserve"> the Requirements in Part 2. In </w:t>
      </w:r>
      <w:r w:rsidR="00704475">
        <w:t>the case</w:t>
      </w:r>
      <w:r>
        <w:t xml:space="preserve"> of Requirement 2.</w:t>
      </w:r>
      <w:r w:rsidR="00607A60">
        <w:t>6</w:t>
      </w:r>
      <w:r>
        <w:t>, applicants are required to fully implement the Compliance Code using documentation which must be made available to</w:t>
      </w:r>
      <w:r w:rsidR="00851FEA">
        <w:t xml:space="preserve"> the TIC Council</w:t>
      </w:r>
      <w:r>
        <w:t xml:space="preserve"> in</w:t>
      </w:r>
      <w:r>
        <w:rPr>
          <w:spacing w:val="-18"/>
        </w:rPr>
        <w:t xml:space="preserve"> </w:t>
      </w:r>
      <w:r>
        <w:t>the</w:t>
      </w:r>
      <w:r w:rsidR="006F0E39">
        <w:t xml:space="preserve"> </w:t>
      </w:r>
      <w:r>
        <w:t xml:space="preserve">English language prior to being accepted into membership. Compliance has subsequently to be demonstrated by an </w:t>
      </w:r>
      <w:r w:rsidR="009E6254">
        <w:t xml:space="preserve">annual </w:t>
      </w:r>
      <w:r>
        <w:t xml:space="preserve">external </w:t>
      </w:r>
      <w:r w:rsidR="00A222DE">
        <w:t>independent verification</w:t>
      </w:r>
      <w:r w:rsidR="009568AF">
        <w:t xml:space="preserve"> described in Annexes B and C to the TIC Council’s Compliance Code Guidelines for Implementation</w:t>
      </w:r>
      <w:r>
        <w:t>.</w:t>
      </w:r>
    </w:p>
    <w:p w14:paraId="149DFFA5" w14:textId="77777777" w:rsidR="006F0E39" w:rsidRPr="00C602EA" w:rsidRDefault="006F0E39" w:rsidP="006F0E39">
      <w:pPr>
        <w:pStyle w:val="BodyText"/>
        <w:ind w:left="669" w:right="117"/>
        <w:jc w:val="both"/>
      </w:pPr>
    </w:p>
    <w:p w14:paraId="0C651930" w14:textId="77777777" w:rsidR="00BC70F2" w:rsidRPr="00C602EA" w:rsidRDefault="00BC70F2">
      <w:pPr>
        <w:pStyle w:val="BodyText"/>
      </w:pPr>
    </w:p>
    <w:p w14:paraId="6B50D517" w14:textId="43554B6E" w:rsidR="00BC70F2" w:rsidRPr="001C06C6" w:rsidRDefault="00F118CE" w:rsidP="001C06C6">
      <w:pPr>
        <w:pStyle w:val="Heading3"/>
        <w:numPr>
          <w:ilvl w:val="1"/>
          <w:numId w:val="2"/>
        </w:numPr>
        <w:tabs>
          <w:tab w:val="left" w:pos="670"/>
        </w:tabs>
        <w:ind w:right="117" w:hanging="569"/>
        <w:jc w:val="both"/>
      </w:pPr>
      <w:r>
        <w:rPr>
          <w:color w:val="808080"/>
        </w:rPr>
        <w:t xml:space="preserve">Existing Members </w:t>
      </w:r>
    </w:p>
    <w:p w14:paraId="170BCD6B" w14:textId="17F96868" w:rsidR="00BC70F2" w:rsidRDefault="00F118CE" w:rsidP="009568AF">
      <w:pPr>
        <w:pStyle w:val="BodyText"/>
        <w:ind w:left="669" w:right="116"/>
        <w:jc w:val="both"/>
      </w:pPr>
      <w:r>
        <w:t>All Members shall confirm their ongoing compliance with the requirements in Part 2 of the Regulation on an annual basis by means of a signed declaration, supported by such documentary evidence of compliance as the Director General may reasonably request. In particular, the Director General may request evidence of the ultimate ownership of a Member in order to demonstrate compliance with Requirements 2.</w:t>
      </w:r>
      <w:r w:rsidR="00607A60">
        <w:t>5</w:t>
      </w:r>
      <w:r w:rsidR="009E10A5">
        <w:t>, 2.6</w:t>
      </w:r>
      <w:r>
        <w:t xml:space="preserve"> and 2.</w:t>
      </w:r>
      <w:r w:rsidR="00607A60">
        <w:t>7</w:t>
      </w:r>
      <w:r>
        <w:t>.</w:t>
      </w:r>
      <w:r w:rsidR="00DE681B">
        <w:t xml:space="preserve"> </w:t>
      </w:r>
      <w:r w:rsidR="005108E0">
        <w:t xml:space="preserve">All Members shall arrange for the effectiveness of the implementation of the Compliance Programme to be verified </w:t>
      </w:r>
      <w:r w:rsidR="009568AF">
        <w:t>at least annually</w:t>
      </w:r>
      <w:r w:rsidR="005108E0">
        <w:t xml:space="preserve"> by a recognised independent external audit firm and meet the document submission requirements of the TIC Council (including the subm</w:t>
      </w:r>
      <w:r w:rsidR="009568AF">
        <w:t xml:space="preserve">ission of the Agreed Upon Procedures report). </w:t>
      </w:r>
      <w:r w:rsidR="00183073">
        <w:t>The documents and the annual reports submitted as per the external verification procedures are confidential and for the Director General only.</w:t>
      </w:r>
    </w:p>
    <w:p w14:paraId="3AD4314D" w14:textId="77777777" w:rsidR="00BC70F2" w:rsidRPr="00C602EA" w:rsidRDefault="00BC70F2">
      <w:pPr>
        <w:pStyle w:val="BodyText"/>
      </w:pPr>
    </w:p>
    <w:p w14:paraId="79742FFC" w14:textId="77777777" w:rsidR="00BC70F2" w:rsidRPr="00C602EA" w:rsidRDefault="00BC70F2">
      <w:pPr>
        <w:pStyle w:val="BodyText"/>
        <w:spacing w:before="1"/>
      </w:pPr>
    </w:p>
    <w:p w14:paraId="3841E377" w14:textId="7C2E935E" w:rsidR="00BC70F2" w:rsidRPr="001C06C6" w:rsidRDefault="00F118CE" w:rsidP="001C06C6">
      <w:pPr>
        <w:pStyle w:val="Heading3"/>
        <w:numPr>
          <w:ilvl w:val="1"/>
          <w:numId w:val="2"/>
        </w:numPr>
        <w:tabs>
          <w:tab w:val="left" w:pos="670"/>
        </w:tabs>
        <w:ind w:right="118" w:hanging="569"/>
        <w:jc w:val="both"/>
      </w:pPr>
      <w:r>
        <w:rPr>
          <w:color w:val="808080"/>
        </w:rPr>
        <w:t xml:space="preserve">Applications for Membership </w:t>
      </w:r>
    </w:p>
    <w:p w14:paraId="52C01D61" w14:textId="1D55B8EE" w:rsidR="00BC70F2" w:rsidRDefault="00F118CE" w:rsidP="00E4106B">
      <w:pPr>
        <w:pStyle w:val="ListParagraph"/>
        <w:numPr>
          <w:ilvl w:val="2"/>
          <w:numId w:val="2"/>
        </w:numPr>
        <w:tabs>
          <w:tab w:val="left" w:pos="670"/>
        </w:tabs>
        <w:ind w:right="117"/>
        <w:rPr>
          <w:sz w:val="24"/>
        </w:rPr>
      </w:pPr>
      <w:r>
        <w:rPr>
          <w:sz w:val="24"/>
        </w:rPr>
        <w:t>An applicant for new membership shall deliver to the Secretar</w:t>
      </w:r>
      <w:r w:rsidR="00E4106B">
        <w:rPr>
          <w:sz w:val="24"/>
        </w:rPr>
        <w:t>iat</w:t>
      </w:r>
      <w:r>
        <w:rPr>
          <w:sz w:val="24"/>
        </w:rPr>
        <w:t xml:space="preserve"> a completed application form containing complete information relevant to the category of membership applied for and regarding all the criteria referred to in this Regulation. When returning the application form the applicant will be asked to pay a </w:t>
      </w:r>
      <w:r>
        <w:rPr>
          <w:spacing w:val="1"/>
          <w:sz w:val="24"/>
        </w:rPr>
        <w:t>non</w:t>
      </w:r>
      <w:r w:rsidR="00563FB4">
        <w:rPr>
          <w:spacing w:val="1"/>
          <w:sz w:val="24"/>
        </w:rPr>
        <w:t xml:space="preserve">-refundable </w:t>
      </w:r>
      <w:r>
        <w:rPr>
          <w:sz w:val="24"/>
        </w:rPr>
        <w:t>fee to cover the reasonable costs incurred by</w:t>
      </w:r>
      <w:r w:rsidR="00851FEA">
        <w:rPr>
          <w:sz w:val="24"/>
        </w:rPr>
        <w:t xml:space="preserve"> the TIC Council</w:t>
      </w:r>
      <w:r>
        <w:rPr>
          <w:sz w:val="24"/>
        </w:rPr>
        <w:t xml:space="preserve"> in processing the</w:t>
      </w:r>
      <w:r>
        <w:rPr>
          <w:spacing w:val="-14"/>
          <w:sz w:val="24"/>
        </w:rPr>
        <w:t xml:space="preserve"> </w:t>
      </w:r>
      <w:r>
        <w:rPr>
          <w:sz w:val="24"/>
        </w:rPr>
        <w:t>application.</w:t>
      </w:r>
    </w:p>
    <w:p w14:paraId="2F33E137" w14:textId="77777777" w:rsidR="00BC70F2" w:rsidRDefault="00BC70F2">
      <w:pPr>
        <w:pStyle w:val="BodyText"/>
        <w:spacing w:before="1"/>
      </w:pPr>
    </w:p>
    <w:p w14:paraId="7453BFB0" w14:textId="77777777" w:rsidR="00BC70F2" w:rsidRPr="00E4106B" w:rsidRDefault="00F118CE" w:rsidP="00E4106B">
      <w:pPr>
        <w:pStyle w:val="ListParagraph"/>
        <w:numPr>
          <w:ilvl w:val="2"/>
          <w:numId w:val="2"/>
        </w:numPr>
        <w:tabs>
          <w:tab w:val="left" w:pos="670"/>
        </w:tabs>
        <w:ind w:right="115" w:hanging="569"/>
      </w:pPr>
      <w:r>
        <w:rPr>
          <w:sz w:val="24"/>
        </w:rPr>
        <w:t xml:space="preserve">The </w:t>
      </w:r>
      <w:r w:rsidR="00FA3A46">
        <w:rPr>
          <w:sz w:val="24"/>
        </w:rPr>
        <w:t>S</w:t>
      </w:r>
      <w:r>
        <w:rPr>
          <w:sz w:val="24"/>
        </w:rPr>
        <w:t>ecretar</w:t>
      </w:r>
      <w:r w:rsidR="00E4106B">
        <w:rPr>
          <w:sz w:val="24"/>
        </w:rPr>
        <w:t>iat</w:t>
      </w:r>
      <w:r>
        <w:rPr>
          <w:sz w:val="24"/>
        </w:rPr>
        <w:t xml:space="preserve"> will acknowledge receipt of the application form</w:t>
      </w:r>
      <w:r w:rsidR="00E4106B">
        <w:rPr>
          <w:sz w:val="24"/>
        </w:rPr>
        <w:t xml:space="preserve"> and </w:t>
      </w:r>
      <w:r>
        <w:rPr>
          <w:sz w:val="24"/>
        </w:rPr>
        <w:t xml:space="preserve">review </w:t>
      </w:r>
      <w:r w:rsidR="00E4106B">
        <w:rPr>
          <w:sz w:val="24"/>
        </w:rPr>
        <w:t>it</w:t>
      </w:r>
      <w:r>
        <w:rPr>
          <w:sz w:val="24"/>
        </w:rPr>
        <w:t xml:space="preserve">. Further documents or information may </w:t>
      </w:r>
      <w:r w:rsidRPr="00E4106B">
        <w:rPr>
          <w:spacing w:val="5"/>
          <w:sz w:val="24"/>
        </w:rPr>
        <w:t xml:space="preserve">be </w:t>
      </w:r>
      <w:r>
        <w:rPr>
          <w:sz w:val="24"/>
        </w:rPr>
        <w:t xml:space="preserve">called for. </w:t>
      </w:r>
    </w:p>
    <w:p w14:paraId="4BEDB26E" w14:textId="77777777" w:rsidR="00E4106B" w:rsidRDefault="00E4106B" w:rsidP="00E4106B">
      <w:pPr>
        <w:pStyle w:val="ListParagraph"/>
        <w:tabs>
          <w:tab w:val="left" w:pos="670"/>
        </w:tabs>
        <w:ind w:right="115" w:firstLine="0"/>
      </w:pPr>
    </w:p>
    <w:p w14:paraId="7EB62F5A" w14:textId="77777777" w:rsidR="00C602EA" w:rsidRDefault="00F118CE" w:rsidP="00C602EA">
      <w:pPr>
        <w:pStyle w:val="ListParagraph"/>
        <w:numPr>
          <w:ilvl w:val="2"/>
          <w:numId w:val="2"/>
        </w:numPr>
        <w:ind w:right="115" w:hanging="569"/>
        <w:rPr>
          <w:sz w:val="24"/>
        </w:rPr>
      </w:pPr>
      <w:r>
        <w:rPr>
          <w:sz w:val="24"/>
        </w:rPr>
        <w:t xml:space="preserve">Once the </w:t>
      </w:r>
      <w:r w:rsidR="00FA3A46">
        <w:rPr>
          <w:sz w:val="24"/>
        </w:rPr>
        <w:t>S</w:t>
      </w:r>
      <w:r w:rsidR="00D12F48">
        <w:rPr>
          <w:sz w:val="24"/>
        </w:rPr>
        <w:t>ecretariat</w:t>
      </w:r>
      <w:r>
        <w:rPr>
          <w:sz w:val="24"/>
        </w:rPr>
        <w:t xml:space="preserve"> is </w:t>
      </w:r>
      <w:r w:rsidR="00FD71FF">
        <w:rPr>
          <w:sz w:val="24"/>
        </w:rPr>
        <w:t xml:space="preserve">reasonably </w:t>
      </w:r>
      <w:r>
        <w:rPr>
          <w:sz w:val="24"/>
        </w:rPr>
        <w:t xml:space="preserve">satisfied that </w:t>
      </w:r>
      <w:proofErr w:type="gramStart"/>
      <w:r>
        <w:rPr>
          <w:sz w:val="24"/>
        </w:rPr>
        <w:t>sufficient</w:t>
      </w:r>
      <w:proofErr w:type="gramEnd"/>
      <w:r>
        <w:rPr>
          <w:sz w:val="24"/>
        </w:rPr>
        <w:t xml:space="preserve"> information has been submitted to support the applicant’s claim that all the criteria have been met, the </w:t>
      </w:r>
      <w:r w:rsidR="00FA3A46">
        <w:rPr>
          <w:sz w:val="24"/>
        </w:rPr>
        <w:lastRenderedPageBreak/>
        <w:t>Secretariat</w:t>
      </w:r>
      <w:r>
        <w:rPr>
          <w:sz w:val="24"/>
        </w:rPr>
        <w:t xml:space="preserve"> will arrange with the applicant for an audit to be carried out by auditors nominated by</w:t>
      </w:r>
      <w:r w:rsidR="00851FEA">
        <w:rPr>
          <w:sz w:val="24"/>
        </w:rPr>
        <w:t xml:space="preserve"> the TIC Council</w:t>
      </w:r>
      <w:r>
        <w:rPr>
          <w:sz w:val="24"/>
        </w:rPr>
        <w:t>. The purpose of such audit is to checking conformity with the criteria for</w:t>
      </w:r>
      <w:r w:rsidR="00D12F48">
        <w:rPr>
          <w:sz w:val="24"/>
        </w:rPr>
        <w:t xml:space="preserve"> </w:t>
      </w:r>
      <w:r>
        <w:rPr>
          <w:sz w:val="24"/>
        </w:rPr>
        <w:t>membershi</w:t>
      </w:r>
      <w:r w:rsidR="00D12F48">
        <w:rPr>
          <w:sz w:val="24"/>
        </w:rPr>
        <w:t xml:space="preserve">p specifically on the implementation of the compliance programme as in </w:t>
      </w:r>
      <w:r w:rsidR="009175FE">
        <w:rPr>
          <w:sz w:val="24"/>
        </w:rPr>
        <w:t xml:space="preserve">Requirement </w:t>
      </w:r>
      <w:r w:rsidR="00D12F48">
        <w:rPr>
          <w:sz w:val="24"/>
        </w:rPr>
        <w:t>2.</w:t>
      </w:r>
      <w:r w:rsidR="00607A60">
        <w:rPr>
          <w:sz w:val="24"/>
        </w:rPr>
        <w:t>6</w:t>
      </w:r>
      <w:r w:rsidR="002C6A6E">
        <w:rPr>
          <w:sz w:val="24"/>
        </w:rPr>
        <w:t xml:space="preserve"> </w:t>
      </w:r>
      <w:r>
        <w:rPr>
          <w:sz w:val="24"/>
        </w:rPr>
        <w:t>and is not a financial audit. The audit will be carried out at the applicant’s expense.</w:t>
      </w:r>
    </w:p>
    <w:p w14:paraId="2E439871" w14:textId="77777777" w:rsidR="00C602EA" w:rsidRPr="00C602EA" w:rsidRDefault="00C602EA" w:rsidP="00C602EA">
      <w:pPr>
        <w:pStyle w:val="ListParagraph"/>
        <w:rPr>
          <w:sz w:val="24"/>
        </w:rPr>
      </w:pPr>
    </w:p>
    <w:p w14:paraId="4DA3C383" w14:textId="3983F2AF" w:rsidR="00C602EA" w:rsidRDefault="00F118CE" w:rsidP="00C602EA">
      <w:pPr>
        <w:pStyle w:val="ListParagraph"/>
        <w:numPr>
          <w:ilvl w:val="2"/>
          <w:numId w:val="2"/>
        </w:numPr>
        <w:ind w:right="115" w:hanging="569"/>
        <w:rPr>
          <w:sz w:val="24"/>
        </w:rPr>
      </w:pPr>
      <w:r w:rsidRPr="00C602EA">
        <w:rPr>
          <w:sz w:val="24"/>
        </w:rPr>
        <w:t xml:space="preserve">Upon completion of the audit and when the </w:t>
      </w:r>
      <w:r w:rsidR="00FA3A46" w:rsidRPr="00C602EA">
        <w:rPr>
          <w:sz w:val="24"/>
        </w:rPr>
        <w:t xml:space="preserve">Secretariat </w:t>
      </w:r>
      <w:r w:rsidRPr="00C602EA">
        <w:rPr>
          <w:sz w:val="24"/>
        </w:rPr>
        <w:t>is</w:t>
      </w:r>
      <w:r w:rsidR="00FD71FF" w:rsidRPr="00C602EA">
        <w:rPr>
          <w:sz w:val="24"/>
        </w:rPr>
        <w:t xml:space="preserve"> reasonably</w:t>
      </w:r>
      <w:r w:rsidRPr="00C602EA">
        <w:rPr>
          <w:sz w:val="24"/>
        </w:rPr>
        <w:t xml:space="preserve"> satisfied that all relevant information has been received, the </w:t>
      </w:r>
      <w:r w:rsidR="00420C3A" w:rsidRPr="00C602EA">
        <w:rPr>
          <w:sz w:val="24"/>
        </w:rPr>
        <w:t>Secretariat</w:t>
      </w:r>
      <w:r w:rsidRPr="00C602EA">
        <w:rPr>
          <w:sz w:val="24"/>
        </w:rPr>
        <w:t xml:space="preserve"> will, if the applicant so requests, submit the application to the </w:t>
      </w:r>
      <w:r w:rsidR="00263A37" w:rsidRPr="00C602EA">
        <w:rPr>
          <w:sz w:val="24"/>
        </w:rPr>
        <w:t xml:space="preserve">Global </w:t>
      </w:r>
      <w:r w:rsidR="00FA3A46" w:rsidRPr="00C602EA">
        <w:rPr>
          <w:sz w:val="24"/>
        </w:rPr>
        <w:t>Board</w:t>
      </w:r>
      <w:r w:rsidRPr="00C602EA">
        <w:rPr>
          <w:sz w:val="24"/>
        </w:rPr>
        <w:t xml:space="preserve"> for decision</w:t>
      </w:r>
      <w:r w:rsidR="00DB064E" w:rsidRPr="00C602EA">
        <w:rPr>
          <w:sz w:val="24"/>
        </w:rPr>
        <w:t xml:space="preserve">. This decision will need to be confirmed by the General Assembly. </w:t>
      </w:r>
      <w:r w:rsidRPr="00C602EA">
        <w:rPr>
          <w:sz w:val="24"/>
        </w:rPr>
        <w:t>The Secretar</w:t>
      </w:r>
      <w:r w:rsidR="00FA3A46" w:rsidRPr="00C602EA">
        <w:rPr>
          <w:sz w:val="24"/>
        </w:rPr>
        <w:t>iat</w:t>
      </w:r>
      <w:r w:rsidRPr="00C602EA">
        <w:rPr>
          <w:sz w:val="24"/>
        </w:rPr>
        <w:t xml:space="preserve"> will notify the applicant promptly of the </w:t>
      </w:r>
      <w:r w:rsidR="00263A37" w:rsidRPr="00C602EA">
        <w:rPr>
          <w:sz w:val="24"/>
        </w:rPr>
        <w:t xml:space="preserve">Global </w:t>
      </w:r>
      <w:r w:rsidR="00FA3A46" w:rsidRPr="00C602EA">
        <w:rPr>
          <w:sz w:val="24"/>
        </w:rPr>
        <w:t>Board’</w:t>
      </w:r>
      <w:r w:rsidRPr="00C602EA">
        <w:rPr>
          <w:sz w:val="24"/>
        </w:rPr>
        <w:t xml:space="preserve">s </w:t>
      </w:r>
      <w:r w:rsidR="00DB064E" w:rsidRPr="00C602EA">
        <w:rPr>
          <w:sz w:val="24"/>
        </w:rPr>
        <w:t xml:space="preserve">and the General Assembly’s </w:t>
      </w:r>
      <w:r w:rsidRPr="00C602EA">
        <w:rPr>
          <w:sz w:val="24"/>
        </w:rPr>
        <w:t>decision once that decision has been</w:t>
      </w:r>
      <w:r w:rsidRPr="00C602EA">
        <w:rPr>
          <w:spacing w:val="-4"/>
          <w:sz w:val="24"/>
        </w:rPr>
        <w:t xml:space="preserve"> </w:t>
      </w:r>
      <w:r w:rsidRPr="00C602EA">
        <w:rPr>
          <w:sz w:val="24"/>
        </w:rPr>
        <w:t>made</w:t>
      </w:r>
      <w:r w:rsidR="001C06C6" w:rsidRPr="00C602EA">
        <w:rPr>
          <w:sz w:val="24"/>
        </w:rPr>
        <w:t>.</w:t>
      </w:r>
    </w:p>
    <w:p w14:paraId="65975ADA" w14:textId="77777777" w:rsidR="00C602EA" w:rsidRPr="00C602EA" w:rsidRDefault="00C602EA" w:rsidP="00C602EA">
      <w:pPr>
        <w:pStyle w:val="ListParagraph"/>
        <w:rPr>
          <w:sz w:val="24"/>
          <w:szCs w:val="24"/>
        </w:rPr>
      </w:pPr>
    </w:p>
    <w:p w14:paraId="3B2E11D2" w14:textId="77777777" w:rsidR="00BC70F2" w:rsidRPr="00C602EA" w:rsidRDefault="00BC70F2">
      <w:pPr>
        <w:pStyle w:val="BodyText"/>
      </w:pPr>
    </w:p>
    <w:p w14:paraId="36C52A06" w14:textId="060D6CBF" w:rsidR="00BC70F2" w:rsidRPr="00C602EA" w:rsidRDefault="00F118CE" w:rsidP="00C602EA">
      <w:pPr>
        <w:pStyle w:val="Heading3"/>
        <w:numPr>
          <w:ilvl w:val="1"/>
          <w:numId w:val="2"/>
        </w:numPr>
        <w:tabs>
          <w:tab w:val="left" w:pos="669"/>
          <w:tab w:val="left" w:pos="670"/>
        </w:tabs>
        <w:ind w:hanging="569"/>
      </w:pPr>
      <w:r>
        <w:rPr>
          <w:color w:val="808080"/>
        </w:rPr>
        <w:t xml:space="preserve">Powers of </w:t>
      </w:r>
      <w:r w:rsidR="00CD5B4A">
        <w:rPr>
          <w:color w:val="808080"/>
        </w:rPr>
        <w:t xml:space="preserve">the </w:t>
      </w:r>
      <w:r w:rsidR="00263A37">
        <w:rPr>
          <w:color w:val="808080"/>
        </w:rPr>
        <w:t xml:space="preserve">Global </w:t>
      </w:r>
      <w:r w:rsidR="00CD5B4A">
        <w:rPr>
          <w:color w:val="808080"/>
        </w:rPr>
        <w:t>Board</w:t>
      </w:r>
    </w:p>
    <w:p w14:paraId="44E9F9A0" w14:textId="0157F03C" w:rsidR="00BC70F2" w:rsidRDefault="00F118CE">
      <w:pPr>
        <w:pStyle w:val="BodyText"/>
        <w:ind w:left="669" w:right="127"/>
        <w:jc w:val="both"/>
      </w:pPr>
      <w:r>
        <w:t xml:space="preserve">The </w:t>
      </w:r>
      <w:r w:rsidR="00263A37">
        <w:t xml:space="preserve">Global </w:t>
      </w:r>
      <w:r w:rsidR="00CD5B4A">
        <w:t>Board</w:t>
      </w:r>
      <w:r>
        <w:t xml:space="preserve"> may make, revoke or vary from time to time regulations and procedures as to the criteria for the admission, qualification, rights, privileges, subscriptions and suspension or termination of each or any category of member of the</w:t>
      </w:r>
      <w:r w:rsidR="00851FEA">
        <w:t xml:space="preserve"> TIC Council</w:t>
      </w:r>
      <w:r>
        <w:rPr>
          <w:spacing w:val="-13"/>
        </w:rPr>
        <w:t xml:space="preserve"> </w:t>
      </w:r>
      <w:r w:rsidR="00CD5B4A">
        <w:t>and submit these to the General Assembly for approval</w:t>
      </w:r>
      <w:r>
        <w:t>.</w:t>
      </w:r>
    </w:p>
    <w:p w14:paraId="5F1A59F9" w14:textId="77777777" w:rsidR="00BC70F2" w:rsidRDefault="00BC70F2">
      <w:pPr>
        <w:jc w:val="both"/>
        <w:sectPr w:rsidR="00BC70F2">
          <w:headerReference w:type="default" r:id="rId8"/>
          <w:footerReference w:type="default" r:id="rId9"/>
          <w:pgSz w:w="11930" w:h="16850"/>
          <w:pgMar w:top="1500" w:right="980" w:bottom="1740" w:left="920" w:header="0" w:footer="1550" w:gutter="0"/>
          <w:cols w:space="720"/>
        </w:sectPr>
      </w:pPr>
    </w:p>
    <w:p w14:paraId="10FA800C" w14:textId="36D5B0F2" w:rsidR="00BC70F2" w:rsidRDefault="00F118CE">
      <w:pPr>
        <w:spacing w:before="180" w:line="242" w:lineRule="auto"/>
        <w:ind w:left="669" w:right="118" w:hanging="570"/>
        <w:jc w:val="both"/>
        <w:rPr>
          <w:b/>
          <w:sz w:val="24"/>
        </w:rPr>
      </w:pPr>
      <w:r>
        <w:rPr>
          <w:b/>
          <w:color w:val="808080"/>
          <w:sz w:val="32"/>
        </w:rPr>
        <w:lastRenderedPageBreak/>
        <w:t>Part Two –</w:t>
      </w:r>
      <w:r w:rsidR="00851FEA">
        <w:rPr>
          <w:b/>
          <w:color w:val="808080"/>
          <w:sz w:val="32"/>
        </w:rPr>
        <w:t xml:space="preserve"> TIC Council</w:t>
      </w:r>
      <w:r w:rsidR="007C4B71">
        <w:rPr>
          <w:b/>
          <w:color w:val="808080"/>
          <w:sz w:val="28"/>
        </w:rPr>
        <w:t xml:space="preserve"> </w:t>
      </w:r>
      <w:r>
        <w:rPr>
          <w:b/>
          <w:color w:val="808080"/>
          <w:sz w:val="28"/>
        </w:rPr>
        <w:t>Membership Requirements</w:t>
      </w:r>
    </w:p>
    <w:p w14:paraId="750F16FC" w14:textId="77777777" w:rsidR="00BC70F2" w:rsidRDefault="00BC70F2">
      <w:pPr>
        <w:pStyle w:val="BodyText"/>
        <w:rPr>
          <w:b/>
          <w:sz w:val="26"/>
        </w:rPr>
      </w:pPr>
    </w:p>
    <w:p w14:paraId="5EF1BE73" w14:textId="77777777" w:rsidR="00BC70F2" w:rsidRDefault="00BC70F2">
      <w:pPr>
        <w:pStyle w:val="BodyText"/>
        <w:spacing w:before="7"/>
        <w:rPr>
          <w:b/>
          <w:sz w:val="21"/>
        </w:rPr>
      </w:pPr>
    </w:p>
    <w:p w14:paraId="1EACA579" w14:textId="72A975AA" w:rsidR="00BC70F2" w:rsidRPr="005778C5" w:rsidRDefault="004F2713" w:rsidP="005778C5">
      <w:pPr>
        <w:pStyle w:val="ListParagraph"/>
        <w:numPr>
          <w:ilvl w:val="1"/>
          <w:numId w:val="1"/>
        </w:numPr>
        <w:ind w:right="115"/>
        <w:rPr>
          <w:sz w:val="24"/>
        </w:rPr>
      </w:pPr>
      <w:r>
        <w:rPr>
          <w:sz w:val="24"/>
        </w:rPr>
        <w:t>The Member shall meet all membership requirements as defined in Article 6 of the Articles of Association.</w:t>
      </w:r>
    </w:p>
    <w:p w14:paraId="6054C828" w14:textId="77777777" w:rsidR="00BC70F2" w:rsidRDefault="00BC70F2">
      <w:pPr>
        <w:pStyle w:val="BodyText"/>
      </w:pPr>
    </w:p>
    <w:p w14:paraId="2F8F7F06" w14:textId="77777777" w:rsidR="00BC70F2" w:rsidRDefault="00F118CE">
      <w:pPr>
        <w:pStyle w:val="ListParagraph"/>
        <w:numPr>
          <w:ilvl w:val="1"/>
          <w:numId w:val="1"/>
        </w:numPr>
        <w:tabs>
          <w:tab w:val="left" w:pos="670"/>
        </w:tabs>
        <w:ind w:right="123" w:hanging="569"/>
        <w:rPr>
          <w:sz w:val="24"/>
        </w:rPr>
      </w:pPr>
      <w:r>
        <w:rPr>
          <w:sz w:val="24"/>
        </w:rPr>
        <w:t xml:space="preserve">Each of the Directors and Officers of the Member shall be a fit and proper person to be engaged in the Profession, and </w:t>
      </w:r>
      <w:proofErr w:type="gramStart"/>
      <w:r>
        <w:rPr>
          <w:sz w:val="24"/>
        </w:rPr>
        <w:t>in particular shall</w:t>
      </w:r>
      <w:proofErr w:type="gramEnd"/>
      <w:r>
        <w:rPr>
          <w:sz w:val="24"/>
        </w:rPr>
        <w:t xml:space="preserve"> not have been convicted of any offence related to the management of any company or its</w:t>
      </w:r>
      <w:r>
        <w:rPr>
          <w:spacing w:val="-19"/>
          <w:sz w:val="24"/>
        </w:rPr>
        <w:t xml:space="preserve"> </w:t>
      </w:r>
      <w:r>
        <w:rPr>
          <w:sz w:val="24"/>
        </w:rPr>
        <w:t>business.</w:t>
      </w:r>
    </w:p>
    <w:p w14:paraId="673451CE" w14:textId="294278B2" w:rsidR="00BC70F2" w:rsidRDefault="00800115">
      <w:pPr>
        <w:pStyle w:val="BodyText"/>
      </w:pPr>
      <w:r>
        <w:t xml:space="preserve">                                     </w:t>
      </w:r>
    </w:p>
    <w:p w14:paraId="5D33309D" w14:textId="1919FD5D" w:rsidR="00BC70F2" w:rsidRDefault="00F118CE">
      <w:pPr>
        <w:pStyle w:val="ListParagraph"/>
        <w:numPr>
          <w:ilvl w:val="1"/>
          <w:numId w:val="1"/>
        </w:numPr>
        <w:tabs>
          <w:tab w:val="left" w:pos="670"/>
        </w:tabs>
        <w:ind w:right="114" w:hanging="569"/>
        <w:rPr>
          <w:sz w:val="24"/>
        </w:rPr>
      </w:pPr>
      <w:r>
        <w:rPr>
          <w:sz w:val="24"/>
        </w:rPr>
        <w:t>The Member shall have adequate professional liability insurance or adequate alternative provision for meeting liabilities for professional negligence as approved by</w:t>
      </w:r>
      <w:r w:rsidR="00851FEA">
        <w:rPr>
          <w:sz w:val="24"/>
        </w:rPr>
        <w:t xml:space="preserve"> the TIC Council</w:t>
      </w:r>
      <w:r w:rsidR="003205B9">
        <w:rPr>
          <w:sz w:val="24"/>
        </w:rPr>
        <w:t xml:space="preserve"> </w:t>
      </w:r>
      <w:r>
        <w:rPr>
          <w:sz w:val="24"/>
        </w:rPr>
        <w:t>based on a proper risk assessment</w:t>
      </w:r>
      <w:r>
        <w:rPr>
          <w:spacing w:val="-11"/>
          <w:sz w:val="24"/>
        </w:rPr>
        <w:t xml:space="preserve"> </w:t>
      </w:r>
      <w:r>
        <w:rPr>
          <w:sz w:val="24"/>
        </w:rPr>
        <w:t>analysis.</w:t>
      </w:r>
    </w:p>
    <w:p w14:paraId="0FDCEB07" w14:textId="77777777" w:rsidR="00BC70F2" w:rsidRDefault="00BC70F2">
      <w:pPr>
        <w:pStyle w:val="BodyText"/>
      </w:pPr>
    </w:p>
    <w:p w14:paraId="293125EA" w14:textId="1DB3C5A4" w:rsidR="00BC70F2" w:rsidRDefault="00F118CE">
      <w:pPr>
        <w:pStyle w:val="ListParagraph"/>
        <w:numPr>
          <w:ilvl w:val="1"/>
          <w:numId w:val="1"/>
        </w:numPr>
        <w:tabs>
          <w:tab w:val="left" w:pos="670"/>
        </w:tabs>
        <w:spacing w:before="1"/>
        <w:ind w:right="124" w:hanging="569"/>
        <w:rPr>
          <w:i/>
          <w:sz w:val="24"/>
        </w:rPr>
      </w:pPr>
      <w:r>
        <w:rPr>
          <w:sz w:val="24"/>
        </w:rPr>
        <w:t>A subsidiary company or division of a larger group may not become a member of</w:t>
      </w:r>
      <w:r w:rsidR="00851FEA">
        <w:rPr>
          <w:sz w:val="24"/>
        </w:rPr>
        <w:t xml:space="preserve"> the TIC Council</w:t>
      </w:r>
      <w:r w:rsidR="00EB12C3">
        <w:rPr>
          <w:sz w:val="24"/>
        </w:rPr>
        <w:t xml:space="preserve"> </w:t>
      </w:r>
      <w:r>
        <w:rPr>
          <w:sz w:val="24"/>
        </w:rPr>
        <w:t xml:space="preserve">unless </w:t>
      </w:r>
      <w:proofErr w:type="gramStart"/>
      <w:r>
        <w:rPr>
          <w:sz w:val="24"/>
        </w:rPr>
        <w:t>all of</w:t>
      </w:r>
      <w:proofErr w:type="gramEnd"/>
      <w:r>
        <w:rPr>
          <w:sz w:val="24"/>
        </w:rPr>
        <w:t xml:space="preserve"> that group’s worldwide activities in the Profession are undertaken by the subsidiary or division that constitutes the</w:t>
      </w:r>
      <w:r w:rsidR="00851FEA">
        <w:rPr>
          <w:sz w:val="24"/>
        </w:rPr>
        <w:t xml:space="preserve"> TIC Council</w:t>
      </w:r>
      <w:r>
        <w:rPr>
          <w:sz w:val="24"/>
        </w:rPr>
        <w:t xml:space="preserve"> </w:t>
      </w:r>
      <w:r w:rsidR="005778C5">
        <w:rPr>
          <w:sz w:val="24"/>
        </w:rPr>
        <w:t>M</w:t>
      </w:r>
      <w:r>
        <w:rPr>
          <w:sz w:val="24"/>
        </w:rPr>
        <w:t xml:space="preserve">ember or by a group Member under its control. </w:t>
      </w:r>
      <w:r>
        <w:rPr>
          <w:i/>
          <w:sz w:val="24"/>
        </w:rPr>
        <w:t>(This is to ensure that the Member’s activities in the Profession are not carried out indirectly by entities which do not meet</w:t>
      </w:r>
      <w:r w:rsidR="00851FEA">
        <w:rPr>
          <w:i/>
          <w:sz w:val="24"/>
        </w:rPr>
        <w:t xml:space="preserve"> the TIC Council</w:t>
      </w:r>
      <w:r w:rsidR="00662033">
        <w:rPr>
          <w:i/>
          <w:sz w:val="24"/>
        </w:rPr>
        <w:t xml:space="preserve">’s </w:t>
      </w:r>
      <w:r>
        <w:rPr>
          <w:i/>
          <w:sz w:val="24"/>
        </w:rPr>
        <w:t>membership</w:t>
      </w:r>
      <w:r>
        <w:rPr>
          <w:i/>
          <w:spacing w:val="-14"/>
          <w:sz w:val="24"/>
        </w:rPr>
        <w:t xml:space="preserve"> </w:t>
      </w:r>
      <w:r>
        <w:rPr>
          <w:i/>
          <w:sz w:val="24"/>
        </w:rPr>
        <w:t>requirements.)</w:t>
      </w:r>
    </w:p>
    <w:p w14:paraId="5D884897" w14:textId="77777777" w:rsidR="003205B9" w:rsidRPr="004871E4" w:rsidRDefault="003205B9" w:rsidP="004871E4">
      <w:pPr>
        <w:pStyle w:val="ListParagraph"/>
        <w:rPr>
          <w:i/>
          <w:sz w:val="24"/>
        </w:rPr>
      </w:pPr>
    </w:p>
    <w:p w14:paraId="5055A6BD" w14:textId="77777777" w:rsidR="003205B9" w:rsidRPr="004871E4" w:rsidRDefault="004373B2">
      <w:pPr>
        <w:pStyle w:val="ListParagraph"/>
        <w:numPr>
          <w:ilvl w:val="1"/>
          <w:numId w:val="1"/>
        </w:numPr>
        <w:tabs>
          <w:tab w:val="left" w:pos="670"/>
        </w:tabs>
        <w:spacing w:before="1"/>
        <w:ind w:right="124" w:hanging="569"/>
        <w:rPr>
          <w:sz w:val="24"/>
        </w:rPr>
      </w:pPr>
      <w:r>
        <w:rPr>
          <w:sz w:val="24"/>
        </w:rPr>
        <w:t>N</w:t>
      </w:r>
      <w:r w:rsidR="003205B9">
        <w:rPr>
          <w:sz w:val="24"/>
        </w:rPr>
        <w:t>o trader, broker, insurance company or other such user of the services of the Profession shall own the member or have a controlling shareholding i</w:t>
      </w:r>
      <w:r w:rsidR="00633E7B">
        <w:rPr>
          <w:sz w:val="24"/>
        </w:rPr>
        <w:t>n</w:t>
      </w:r>
      <w:r w:rsidR="003205B9">
        <w:rPr>
          <w:sz w:val="24"/>
        </w:rPr>
        <w:t xml:space="preserve"> it.</w:t>
      </w:r>
    </w:p>
    <w:p w14:paraId="00EA915B" w14:textId="77777777" w:rsidR="00BC70F2" w:rsidRDefault="00BC70F2">
      <w:pPr>
        <w:pStyle w:val="BodyText"/>
        <w:rPr>
          <w:i/>
          <w:sz w:val="26"/>
        </w:rPr>
      </w:pPr>
    </w:p>
    <w:p w14:paraId="41D70ABA" w14:textId="50CE4E4E" w:rsidR="00EB12C3" w:rsidRPr="004871E4" w:rsidRDefault="00EB12C3" w:rsidP="00EB12C3">
      <w:pPr>
        <w:pStyle w:val="ListParagraph"/>
        <w:numPr>
          <w:ilvl w:val="1"/>
          <w:numId w:val="1"/>
        </w:numPr>
        <w:tabs>
          <w:tab w:val="left" w:pos="670"/>
        </w:tabs>
        <w:ind w:right="120" w:hanging="569"/>
        <w:rPr>
          <w:i/>
          <w:sz w:val="24"/>
        </w:rPr>
      </w:pPr>
      <w:r w:rsidRPr="004871E4">
        <w:rPr>
          <w:sz w:val="24"/>
        </w:rPr>
        <w:t>The Member shall comply with the</w:t>
      </w:r>
      <w:r w:rsidR="00286968">
        <w:rPr>
          <w:sz w:val="24"/>
        </w:rPr>
        <w:t xml:space="preserve"> TIC Council</w:t>
      </w:r>
      <w:r w:rsidRPr="004871E4">
        <w:rPr>
          <w:sz w:val="24"/>
        </w:rPr>
        <w:t xml:space="preserve"> Compliance Code and ensure that the requirements of the Code are implemented throughout its Organisation. </w:t>
      </w:r>
      <w:r w:rsidRPr="004871E4">
        <w:rPr>
          <w:i/>
          <w:sz w:val="24"/>
        </w:rPr>
        <w:t xml:space="preserve">(“Organisation” means all subsidiaries, offices, branches, premises, locations, operations and activities in which or through which the Member (as defined in </w:t>
      </w:r>
      <w:r w:rsidR="00034CD4">
        <w:rPr>
          <w:i/>
          <w:sz w:val="24"/>
        </w:rPr>
        <w:t>Article 6.1 of the Articles of Association</w:t>
      </w:r>
      <w:r w:rsidRPr="004871E4">
        <w:rPr>
          <w:i/>
          <w:sz w:val="24"/>
        </w:rPr>
        <w:t>, including a Group Member) carries on its business in the Profession).</w:t>
      </w:r>
    </w:p>
    <w:p w14:paraId="71C36406" w14:textId="583D1DE8" w:rsidR="00BC70F2" w:rsidRPr="006A6584" w:rsidRDefault="00BC70F2">
      <w:pPr>
        <w:pStyle w:val="BodyText"/>
        <w:rPr>
          <w:sz w:val="22"/>
        </w:rPr>
      </w:pPr>
    </w:p>
    <w:p w14:paraId="6FE13968" w14:textId="77777777" w:rsidR="00BC70F2" w:rsidRDefault="00F118CE">
      <w:pPr>
        <w:pStyle w:val="ListParagraph"/>
        <w:numPr>
          <w:ilvl w:val="1"/>
          <w:numId w:val="1"/>
        </w:numPr>
        <w:tabs>
          <w:tab w:val="left" w:pos="670"/>
        </w:tabs>
        <w:ind w:right="125" w:hanging="569"/>
        <w:rPr>
          <w:sz w:val="24"/>
        </w:rPr>
      </w:pPr>
      <w:r>
        <w:rPr>
          <w:sz w:val="24"/>
        </w:rPr>
        <w:t>The Member shall implement processes and controls to ensure that the Member and its staff are free from conflicts of interest. In</w:t>
      </w:r>
      <w:r>
        <w:rPr>
          <w:spacing w:val="-7"/>
          <w:sz w:val="24"/>
        </w:rPr>
        <w:t xml:space="preserve"> </w:t>
      </w:r>
      <w:r>
        <w:rPr>
          <w:sz w:val="24"/>
        </w:rPr>
        <w:t>particular:</w:t>
      </w:r>
    </w:p>
    <w:p w14:paraId="2E64351B" w14:textId="77777777" w:rsidR="00BC70F2" w:rsidRDefault="00F118CE">
      <w:pPr>
        <w:pStyle w:val="ListParagraph"/>
        <w:numPr>
          <w:ilvl w:val="2"/>
          <w:numId w:val="1"/>
        </w:numPr>
        <w:tabs>
          <w:tab w:val="left" w:pos="1236"/>
        </w:tabs>
        <w:spacing w:before="90"/>
        <w:ind w:right="119" w:hanging="566"/>
        <w:rPr>
          <w:rFonts w:ascii="Symbol"/>
          <w:sz w:val="24"/>
        </w:rPr>
      </w:pPr>
      <w:r>
        <w:rPr>
          <w:sz w:val="24"/>
        </w:rPr>
        <w:t>The Member and its staff responsible for carrying out its activities in relation to any goods, services or materials shall not be the designer, manufacturer, supplier, installer, purchaser, owner, user or maintainer of such goods, services or materials, nor shall they be the authorised representative of any of these parties except where they are engaged by such a party to provide services within the Profession and such representation (for example in the context of investigations or negotiations relating to a possible loss) is one of the purposes of such</w:t>
      </w:r>
      <w:r>
        <w:rPr>
          <w:spacing w:val="-1"/>
          <w:sz w:val="24"/>
        </w:rPr>
        <w:t xml:space="preserve"> </w:t>
      </w:r>
      <w:r>
        <w:rPr>
          <w:sz w:val="24"/>
        </w:rPr>
        <w:t>engagement;</w:t>
      </w:r>
    </w:p>
    <w:p w14:paraId="55561D0E" w14:textId="77777777" w:rsidR="00BC70F2" w:rsidRDefault="00BC70F2">
      <w:pPr>
        <w:pStyle w:val="BodyText"/>
        <w:spacing w:before="1"/>
      </w:pPr>
    </w:p>
    <w:p w14:paraId="63A59087" w14:textId="15D342CA" w:rsidR="00BC70F2" w:rsidRPr="00794C19" w:rsidRDefault="00F118CE">
      <w:pPr>
        <w:pStyle w:val="ListParagraph"/>
        <w:numPr>
          <w:ilvl w:val="2"/>
          <w:numId w:val="1"/>
        </w:numPr>
        <w:tabs>
          <w:tab w:val="left" w:pos="1236"/>
        </w:tabs>
        <w:spacing w:line="237" w:lineRule="auto"/>
        <w:ind w:right="119" w:hanging="566"/>
        <w:rPr>
          <w:rFonts w:ascii="Symbol"/>
          <w:sz w:val="24"/>
        </w:rPr>
      </w:pPr>
      <w:r>
        <w:rPr>
          <w:sz w:val="24"/>
        </w:rPr>
        <w:t>The Member and its staff shall not engage in any activities that may conflict with their independence of judgment and integrity in relation to the provision of technically objective</w:t>
      </w:r>
      <w:r>
        <w:rPr>
          <w:spacing w:val="-4"/>
          <w:sz w:val="24"/>
        </w:rPr>
        <w:t xml:space="preserve"> </w:t>
      </w:r>
      <w:r>
        <w:rPr>
          <w:sz w:val="24"/>
        </w:rPr>
        <w:t>services.</w:t>
      </w:r>
    </w:p>
    <w:p w14:paraId="64B60C68" w14:textId="77777777" w:rsidR="00794C19" w:rsidRPr="001C06C6" w:rsidRDefault="00794C19" w:rsidP="001C06C6">
      <w:pPr>
        <w:tabs>
          <w:tab w:val="left" w:pos="1236"/>
        </w:tabs>
        <w:spacing w:line="237" w:lineRule="auto"/>
        <w:ind w:right="119"/>
        <w:rPr>
          <w:rFonts w:ascii="Symbol"/>
          <w:sz w:val="24"/>
        </w:rPr>
      </w:pPr>
    </w:p>
    <w:p w14:paraId="4BB792E3" w14:textId="77777777" w:rsidR="00BC70F2" w:rsidRDefault="00F118CE">
      <w:pPr>
        <w:pStyle w:val="ListParagraph"/>
        <w:numPr>
          <w:ilvl w:val="1"/>
          <w:numId w:val="1"/>
        </w:numPr>
        <w:tabs>
          <w:tab w:val="left" w:pos="670"/>
        </w:tabs>
        <w:spacing w:before="1"/>
        <w:ind w:right="128" w:hanging="569"/>
        <w:rPr>
          <w:sz w:val="24"/>
        </w:rPr>
      </w:pPr>
      <w:r>
        <w:rPr>
          <w:sz w:val="24"/>
        </w:rPr>
        <w:t>The Member shall implement processes and controls to ensure the impartiality, independence and integrity of its services and its personnel. In</w:t>
      </w:r>
      <w:r>
        <w:rPr>
          <w:spacing w:val="-10"/>
          <w:sz w:val="24"/>
        </w:rPr>
        <w:t xml:space="preserve"> </w:t>
      </w:r>
      <w:r>
        <w:rPr>
          <w:sz w:val="24"/>
        </w:rPr>
        <w:t>particular:</w:t>
      </w:r>
    </w:p>
    <w:p w14:paraId="5C8AF6FD" w14:textId="77777777" w:rsidR="00BC70F2" w:rsidRDefault="00BC70F2">
      <w:pPr>
        <w:pStyle w:val="BodyText"/>
      </w:pPr>
    </w:p>
    <w:p w14:paraId="5A3230A9" w14:textId="77777777" w:rsidR="00BC70F2" w:rsidRDefault="00F118CE">
      <w:pPr>
        <w:pStyle w:val="ListParagraph"/>
        <w:numPr>
          <w:ilvl w:val="2"/>
          <w:numId w:val="1"/>
        </w:numPr>
        <w:tabs>
          <w:tab w:val="left" w:pos="1236"/>
        </w:tabs>
        <w:ind w:right="126" w:hanging="566"/>
        <w:rPr>
          <w:rFonts w:ascii="Symbol"/>
          <w:sz w:val="24"/>
        </w:rPr>
      </w:pPr>
      <w:r>
        <w:rPr>
          <w:sz w:val="24"/>
        </w:rPr>
        <w:lastRenderedPageBreak/>
        <w:t>The personnel of the Member shall be free from any commercial, financial or other pressures which may affect their</w:t>
      </w:r>
      <w:r>
        <w:rPr>
          <w:spacing w:val="-11"/>
          <w:sz w:val="24"/>
        </w:rPr>
        <w:t xml:space="preserve"> </w:t>
      </w:r>
      <w:r>
        <w:rPr>
          <w:sz w:val="24"/>
        </w:rPr>
        <w:t>judgment;</w:t>
      </w:r>
    </w:p>
    <w:p w14:paraId="52819AAF" w14:textId="77777777" w:rsidR="00BC70F2" w:rsidRDefault="00BC70F2">
      <w:pPr>
        <w:pStyle w:val="BodyText"/>
        <w:spacing w:before="10"/>
        <w:rPr>
          <w:sz w:val="23"/>
        </w:rPr>
      </w:pPr>
    </w:p>
    <w:p w14:paraId="25183CB4" w14:textId="3A2856AE" w:rsidR="00BC70F2" w:rsidRPr="006A6584" w:rsidRDefault="00F118CE" w:rsidP="006A6584">
      <w:pPr>
        <w:pStyle w:val="ListParagraph"/>
        <w:numPr>
          <w:ilvl w:val="2"/>
          <w:numId w:val="1"/>
        </w:numPr>
        <w:tabs>
          <w:tab w:val="left" w:pos="1236"/>
        </w:tabs>
        <w:spacing w:before="1"/>
        <w:ind w:right="127" w:hanging="566"/>
        <w:rPr>
          <w:rFonts w:ascii="Symbol"/>
          <w:sz w:val="24"/>
        </w:rPr>
      </w:pPr>
      <w:r>
        <w:rPr>
          <w:sz w:val="24"/>
        </w:rPr>
        <w:t xml:space="preserve">Persons or organisations external to the Member shall not be </w:t>
      </w:r>
      <w:proofErr w:type="gramStart"/>
      <w:r>
        <w:rPr>
          <w:sz w:val="24"/>
        </w:rPr>
        <w:t>in a position</w:t>
      </w:r>
      <w:proofErr w:type="gramEnd"/>
      <w:r>
        <w:rPr>
          <w:sz w:val="24"/>
        </w:rPr>
        <w:t xml:space="preserve"> to influence the results of inspections or other work carried</w:t>
      </w:r>
      <w:r>
        <w:rPr>
          <w:spacing w:val="-5"/>
          <w:sz w:val="24"/>
        </w:rPr>
        <w:t xml:space="preserve"> </w:t>
      </w:r>
      <w:r>
        <w:rPr>
          <w:sz w:val="24"/>
        </w:rPr>
        <w:t>out.</w:t>
      </w:r>
    </w:p>
    <w:p w14:paraId="2DDD86E1" w14:textId="77777777" w:rsidR="00BC70F2" w:rsidRDefault="00BC70F2">
      <w:pPr>
        <w:pStyle w:val="BodyText"/>
        <w:spacing w:before="9"/>
        <w:rPr>
          <w:sz w:val="21"/>
        </w:rPr>
      </w:pPr>
    </w:p>
    <w:p w14:paraId="268C3623" w14:textId="400B0605" w:rsidR="00BC70F2" w:rsidRDefault="00F118CE" w:rsidP="00A23DB4">
      <w:pPr>
        <w:pStyle w:val="ListParagraph"/>
        <w:numPr>
          <w:ilvl w:val="1"/>
          <w:numId w:val="1"/>
        </w:numPr>
        <w:tabs>
          <w:tab w:val="left" w:pos="670"/>
        </w:tabs>
        <w:ind w:right="116" w:hanging="569"/>
        <w:rPr>
          <w:sz w:val="24"/>
        </w:rPr>
      </w:pPr>
      <w:r>
        <w:rPr>
          <w:sz w:val="24"/>
        </w:rPr>
        <w:t>The member shall operate a quality management system or quality management systems in conformity with the requirements of ISO 9001 and/or, where applicable comply with ISO/IEC 17020 “General requirements for the operation of various types  of bodies performing inspection” or ISO/IEC 17025 “General requirements for the competence of testing and calibration laboratories” or ISO/IEC17065 “Requirements for bodies certifying products, processes and services” or an equivalent quality management system as approved by</w:t>
      </w:r>
      <w:r>
        <w:rPr>
          <w:spacing w:val="-2"/>
          <w:sz w:val="24"/>
        </w:rPr>
        <w:t xml:space="preserve"> </w:t>
      </w:r>
      <w:r w:rsidR="00286968">
        <w:rPr>
          <w:spacing w:val="-2"/>
          <w:sz w:val="24"/>
        </w:rPr>
        <w:t>the TIC Council</w:t>
      </w:r>
      <w:r>
        <w:rPr>
          <w:sz w:val="24"/>
        </w:rPr>
        <w:t>:</w:t>
      </w:r>
    </w:p>
    <w:p w14:paraId="6C05B2BB" w14:textId="77777777" w:rsidR="00BC70F2" w:rsidRDefault="00BC70F2">
      <w:pPr>
        <w:pStyle w:val="BodyText"/>
        <w:spacing w:before="4"/>
      </w:pPr>
    </w:p>
    <w:p w14:paraId="31A69DDB" w14:textId="77777777" w:rsidR="00B137B1" w:rsidRPr="00B137B1" w:rsidRDefault="00F118CE" w:rsidP="00B137B1">
      <w:pPr>
        <w:pStyle w:val="ListParagraph"/>
        <w:numPr>
          <w:ilvl w:val="2"/>
          <w:numId w:val="1"/>
        </w:numPr>
        <w:spacing w:after="240" w:line="237" w:lineRule="auto"/>
        <w:ind w:right="126" w:hanging="566"/>
        <w:rPr>
          <w:rFonts w:ascii="Symbol"/>
          <w:sz w:val="24"/>
        </w:rPr>
      </w:pPr>
      <w:r>
        <w:rPr>
          <w:sz w:val="24"/>
        </w:rPr>
        <w:t>Compliance with ISO 9001 shall be demonstrated by a certificate issued by a certification body accredited by a signatory to the International Accreditation Forum Multi-Lateral Agreement</w:t>
      </w:r>
      <w:r>
        <w:rPr>
          <w:spacing w:val="-3"/>
          <w:sz w:val="24"/>
        </w:rPr>
        <w:t xml:space="preserve"> </w:t>
      </w:r>
      <w:r>
        <w:rPr>
          <w:sz w:val="24"/>
        </w:rPr>
        <w:t>(IAF-MLA);</w:t>
      </w:r>
    </w:p>
    <w:p w14:paraId="6002A004" w14:textId="77777777" w:rsidR="00BC70F2" w:rsidRPr="00B137B1" w:rsidRDefault="00F118CE" w:rsidP="00B137B1">
      <w:pPr>
        <w:pStyle w:val="ListParagraph"/>
        <w:numPr>
          <w:ilvl w:val="2"/>
          <w:numId w:val="1"/>
        </w:numPr>
        <w:spacing w:after="240" w:line="237" w:lineRule="auto"/>
        <w:ind w:right="126" w:hanging="566"/>
        <w:rPr>
          <w:rFonts w:ascii="Symbol"/>
          <w:sz w:val="24"/>
        </w:rPr>
      </w:pPr>
      <w:r w:rsidRPr="00B137B1">
        <w:rPr>
          <w:sz w:val="24"/>
        </w:rPr>
        <w:t>Compliance with ISO/IEC 17020, ISO/IEC 17025 or ISO/IEC 17065 shall be demonstrated by an accreditation document issued by an accreditation body which is a signatory to the International Laboratory Accreditation Co-operation Arrangement (ILAC MRA) or the International Accreditation Forum Multi-Lateral Agreement (IAF-MLA) as</w:t>
      </w:r>
      <w:r w:rsidRPr="00B137B1">
        <w:rPr>
          <w:spacing w:val="-4"/>
          <w:sz w:val="24"/>
        </w:rPr>
        <w:t xml:space="preserve"> </w:t>
      </w:r>
      <w:r w:rsidRPr="00B137B1">
        <w:rPr>
          <w:sz w:val="24"/>
        </w:rPr>
        <w:t>appropriate;</w:t>
      </w:r>
    </w:p>
    <w:p w14:paraId="5FC1A1E7" w14:textId="77777777" w:rsidR="00BC70F2" w:rsidRDefault="00F118CE">
      <w:pPr>
        <w:pStyle w:val="ListParagraph"/>
        <w:numPr>
          <w:ilvl w:val="2"/>
          <w:numId w:val="1"/>
        </w:numPr>
        <w:tabs>
          <w:tab w:val="left" w:pos="1236"/>
        </w:tabs>
        <w:ind w:right="118" w:hanging="566"/>
        <w:rPr>
          <w:rFonts w:ascii="Symbol" w:hAnsi="Symbol"/>
          <w:sz w:val="24"/>
        </w:rPr>
      </w:pPr>
      <w:r>
        <w:rPr>
          <w:sz w:val="24"/>
        </w:rPr>
        <w:t>The geographical coverage of the quality management system(s) should cover the Member’s predominant permanent service</w:t>
      </w:r>
      <w:r>
        <w:rPr>
          <w:spacing w:val="-6"/>
          <w:sz w:val="24"/>
        </w:rPr>
        <w:t xml:space="preserve"> </w:t>
      </w:r>
      <w:r>
        <w:rPr>
          <w:sz w:val="24"/>
        </w:rPr>
        <w:t>units.</w:t>
      </w:r>
    </w:p>
    <w:p w14:paraId="226CFCB4" w14:textId="77777777" w:rsidR="00BC70F2" w:rsidRDefault="00BC70F2">
      <w:pPr>
        <w:pStyle w:val="BodyText"/>
        <w:spacing w:before="10"/>
        <w:rPr>
          <w:sz w:val="23"/>
        </w:rPr>
      </w:pPr>
    </w:p>
    <w:p w14:paraId="5304C8E2" w14:textId="51ED5A75" w:rsidR="00BC70F2" w:rsidRPr="00794C19" w:rsidRDefault="00F118CE" w:rsidP="00794C19">
      <w:pPr>
        <w:pStyle w:val="ListParagraph"/>
        <w:numPr>
          <w:ilvl w:val="2"/>
          <w:numId w:val="1"/>
        </w:numPr>
        <w:tabs>
          <w:tab w:val="left" w:pos="1236"/>
        </w:tabs>
        <w:ind w:right="116" w:hanging="566"/>
        <w:rPr>
          <w:i/>
        </w:rPr>
      </w:pPr>
      <w:r>
        <w:rPr>
          <w:sz w:val="24"/>
        </w:rPr>
        <w:t xml:space="preserve">The scope of the certification or accreditation should cover all that part of the Member’s business which falls within the fields of business set out </w:t>
      </w:r>
      <w:r w:rsidR="0059437F">
        <w:rPr>
          <w:sz w:val="24"/>
        </w:rPr>
        <w:t>in Article 4.1 of the Articles of Association</w:t>
      </w:r>
      <w:r w:rsidR="00AB39E7">
        <w:rPr>
          <w:sz w:val="24"/>
        </w:rPr>
        <w:t>.</w:t>
      </w:r>
    </w:p>
    <w:p w14:paraId="19B4171E" w14:textId="79CE9DF6" w:rsidR="00794C19" w:rsidRDefault="00794C19" w:rsidP="006A6584">
      <w:pPr>
        <w:tabs>
          <w:tab w:val="left" w:pos="1236"/>
        </w:tabs>
        <w:ind w:right="116"/>
      </w:pPr>
    </w:p>
    <w:p w14:paraId="068ED591" w14:textId="5AC4B2EF" w:rsidR="00C15117" w:rsidRPr="003D7852" w:rsidRDefault="00A11804" w:rsidP="003D7852">
      <w:pPr>
        <w:pStyle w:val="ListParagraph"/>
        <w:tabs>
          <w:tab w:val="left" w:pos="670"/>
        </w:tabs>
        <w:ind w:right="116" w:firstLine="0"/>
        <w:rPr>
          <w:sz w:val="24"/>
        </w:rPr>
      </w:pPr>
      <w:r w:rsidRPr="00A11804">
        <w:rPr>
          <w:sz w:val="24"/>
        </w:rPr>
        <w:t>The member shall meet all other accreditation requirements that it is required to meet under applicable law</w:t>
      </w:r>
      <w:r w:rsidR="00646AE9" w:rsidRPr="003D7852">
        <w:rPr>
          <w:sz w:val="24"/>
        </w:rPr>
        <w:t>.</w:t>
      </w:r>
    </w:p>
    <w:p w14:paraId="167A266A" w14:textId="77777777" w:rsidR="00C15117" w:rsidRPr="006A6584" w:rsidRDefault="00C15117" w:rsidP="006A6584">
      <w:pPr>
        <w:tabs>
          <w:tab w:val="left" w:pos="1236"/>
        </w:tabs>
        <w:ind w:right="116"/>
      </w:pPr>
    </w:p>
    <w:p w14:paraId="799B5C31" w14:textId="77777777" w:rsidR="00BC70F2" w:rsidRDefault="00F118CE">
      <w:pPr>
        <w:pStyle w:val="ListParagraph"/>
        <w:numPr>
          <w:ilvl w:val="1"/>
          <w:numId w:val="1"/>
        </w:numPr>
        <w:tabs>
          <w:tab w:val="left" w:pos="670"/>
        </w:tabs>
        <w:ind w:right="123" w:hanging="569"/>
        <w:rPr>
          <w:sz w:val="24"/>
        </w:rPr>
      </w:pPr>
      <w:r>
        <w:rPr>
          <w:sz w:val="24"/>
        </w:rPr>
        <w:t xml:space="preserve">The Member shall have </w:t>
      </w:r>
      <w:r>
        <w:rPr>
          <w:sz w:val="24"/>
        </w:rPr>
        <w:t>an adequate number of permanent personnel who are employed by or are under contract to the Member with the range of expertise to perform its</w:t>
      </w:r>
      <w:r>
        <w:rPr>
          <w:spacing w:val="-3"/>
          <w:sz w:val="24"/>
        </w:rPr>
        <w:t xml:space="preserve"> </w:t>
      </w:r>
      <w:r>
        <w:rPr>
          <w:sz w:val="24"/>
        </w:rPr>
        <w:t>services:</w:t>
      </w:r>
    </w:p>
    <w:p w14:paraId="582CB8B0" w14:textId="77777777" w:rsidR="00BC70F2" w:rsidRDefault="00BC70F2">
      <w:pPr>
        <w:pStyle w:val="BodyText"/>
        <w:spacing w:before="1"/>
      </w:pPr>
    </w:p>
    <w:p w14:paraId="46B61F90" w14:textId="77777777" w:rsidR="00BC70F2" w:rsidRDefault="00F118CE">
      <w:pPr>
        <w:pStyle w:val="ListParagraph"/>
        <w:numPr>
          <w:ilvl w:val="2"/>
          <w:numId w:val="1"/>
        </w:numPr>
        <w:tabs>
          <w:tab w:val="left" w:pos="1236"/>
        </w:tabs>
        <w:spacing w:before="1"/>
        <w:ind w:right="117" w:hanging="566"/>
        <w:rPr>
          <w:rFonts w:ascii="Symbol" w:hAnsi="Symbol"/>
          <w:sz w:val="24"/>
        </w:rPr>
      </w:pPr>
      <w:r>
        <w:rPr>
          <w:sz w:val="24"/>
        </w:rPr>
        <w:t>The personnel responsible for the Member’s professional activities shall have appropriate qualifications, training, experience and knowledge of relevant requirements;</w:t>
      </w:r>
    </w:p>
    <w:p w14:paraId="53E5B92B" w14:textId="77777777" w:rsidR="00BC70F2" w:rsidRDefault="00BC70F2">
      <w:pPr>
        <w:pStyle w:val="BodyText"/>
        <w:spacing w:before="1"/>
      </w:pPr>
    </w:p>
    <w:p w14:paraId="1C5EA6F7" w14:textId="737E7D91" w:rsidR="00C9317C" w:rsidRPr="001C06C6" w:rsidRDefault="00F118CE" w:rsidP="001C06C6">
      <w:pPr>
        <w:pStyle w:val="ListParagraph"/>
        <w:numPr>
          <w:ilvl w:val="2"/>
          <w:numId w:val="1"/>
        </w:numPr>
        <w:tabs>
          <w:tab w:val="left" w:pos="1236"/>
        </w:tabs>
        <w:spacing w:line="237" w:lineRule="auto"/>
        <w:ind w:right="120" w:hanging="566"/>
        <w:rPr>
          <w:rFonts w:ascii="Symbol"/>
          <w:sz w:val="24"/>
        </w:rPr>
      </w:pPr>
      <w:r>
        <w:rPr>
          <w:sz w:val="24"/>
        </w:rPr>
        <w:t xml:space="preserve">The personnel shall where appropriate </w:t>
      </w:r>
      <w:proofErr w:type="gramStart"/>
      <w:r>
        <w:rPr>
          <w:sz w:val="24"/>
        </w:rPr>
        <w:t>have the ability to</w:t>
      </w:r>
      <w:proofErr w:type="gramEnd"/>
      <w:r>
        <w:rPr>
          <w:sz w:val="24"/>
        </w:rPr>
        <w:t xml:space="preserve"> make professional judgements as to conformity with general or client-specific requirements and shall understand the significance of deviations found with regard to the normal use of the products/services or processes</w:t>
      </w:r>
      <w:r>
        <w:rPr>
          <w:spacing w:val="-6"/>
          <w:sz w:val="24"/>
        </w:rPr>
        <w:t xml:space="preserve"> </w:t>
      </w:r>
      <w:r>
        <w:rPr>
          <w:sz w:val="24"/>
        </w:rPr>
        <w:t>concerned.</w:t>
      </w:r>
    </w:p>
    <w:p w14:paraId="4F7DB1CC" w14:textId="77777777" w:rsidR="00BC70F2" w:rsidRDefault="00BC70F2">
      <w:pPr>
        <w:pStyle w:val="BodyText"/>
        <w:spacing w:before="4"/>
      </w:pPr>
    </w:p>
    <w:p w14:paraId="241AAF0F" w14:textId="77777777" w:rsidR="00BC70F2" w:rsidRDefault="00F118CE" w:rsidP="003D42C5">
      <w:pPr>
        <w:pStyle w:val="ListParagraph"/>
        <w:numPr>
          <w:ilvl w:val="1"/>
          <w:numId w:val="1"/>
        </w:numPr>
        <w:tabs>
          <w:tab w:val="left" w:pos="670"/>
          <w:tab w:val="left" w:pos="9900"/>
        </w:tabs>
        <w:spacing w:before="1"/>
        <w:ind w:hanging="569"/>
        <w:rPr>
          <w:sz w:val="24"/>
        </w:rPr>
      </w:pPr>
      <w:r>
        <w:rPr>
          <w:sz w:val="24"/>
        </w:rPr>
        <w:t>Each</w:t>
      </w:r>
      <w:r>
        <w:rPr>
          <w:spacing w:val="18"/>
          <w:sz w:val="24"/>
        </w:rPr>
        <w:t xml:space="preserve"> </w:t>
      </w:r>
      <w:r>
        <w:rPr>
          <w:sz w:val="24"/>
        </w:rPr>
        <w:t>Committee</w:t>
      </w:r>
      <w:r>
        <w:rPr>
          <w:spacing w:val="17"/>
          <w:sz w:val="24"/>
        </w:rPr>
        <w:t xml:space="preserve"> </w:t>
      </w:r>
      <w:r>
        <w:rPr>
          <w:sz w:val="24"/>
        </w:rPr>
        <w:t>shall</w:t>
      </w:r>
      <w:r>
        <w:rPr>
          <w:spacing w:val="17"/>
          <w:sz w:val="24"/>
        </w:rPr>
        <w:t xml:space="preserve"> </w:t>
      </w:r>
      <w:r>
        <w:rPr>
          <w:sz w:val="24"/>
        </w:rPr>
        <w:t>consider</w:t>
      </w:r>
      <w:r>
        <w:rPr>
          <w:spacing w:val="17"/>
          <w:sz w:val="24"/>
        </w:rPr>
        <w:t xml:space="preserve"> </w:t>
      </w:r>
      <w:r>
        <w:rPr>
          <w:sz w:val="24"/>
        </w:rPr>
        <w:t>from</w:t>
      </w:r>
      <w:r>
        <w:rPr>
          <w:spacing w:val="20"/>
          <w:sz w:val="24"/>
        </w:rPr>
        <w:t xml:space="preserve"> </w:t>
      </w:r>
      <w:r>
        <w:rPr>
          <w:sz w:val="24"/>
        </w:rPr>
        <w:t>time</w:t>
      </w:r>
      <w:r>
        <w:rPr>
          <w:spacing w:val="18"/>
          <w:sz w:val="24"/>
        </w:rPr>
        <w:t xml:space="preserve"> </w:t>
      </w:r>
      <w:r>
        <w:rPr>
          <w:sz w:val="24"/>
        </w:rPr>
        <w:t>to</w:t>
      </w:r>
      <w:r>
        <w:rPr>
          <w:spacing w:val="18"/>
          <w:sz w:val="24"/>
        </w:rPr>
        <w:t xml:space="preserve"> </w:t>
      </w:r>
      <w:r>
        <w:rPr>
          <w:sz w:val="24"/>
        </w:rPr>
        <w:t>time</w:t>
      </w:r>
      <w:r>
        <w:rPr>
          <w:spacing w:val="18"/>
          <w:sz w:val="24"/>
        </w:rPr>
        <w:t xml:space="preserve"> </w:t>
      </w:r>
      <w:r>
        <w:rPr>
          <w:sz w:val="24"/>
        </w:rPr>
        <w:t>the</w:t>
      </w:r>
      <w:r>
        <w:rPr>
          <w:spacing w:val="18"/>
          <w:sz w:val="24"/>
        </w:rPr>
        <w:t xml:space="preserve"> </w:t>
      </w:r>
      <w:r>
        <w:rPr>
          <w:sz w:val="24"/>
        </w:rPr>
        <w:t>operation</w:t>
      </w:r>
      <w:r>
        <w:rPr>
          <w:spacing w:val="18"/>
          <w:sz w:val="24"/>
        </w:rPr>
        <w:t xml:space="preserve"> </w:t>
      </w:r>
      <w:r>
        <w:rPr>
          <w:sz w:val="24"/>
        </w:rPr>
        <w:t>of</w:t>
      </w:r>
      <w:r>
        <w:rPr>
          <w:spacing w:val="31"/>
          <w:sz w:val="24"/>
        </w:rPr>
        <w:t xml:space="preserve"> </w:t>
      </w:r>
      <w:r>
        <w:rPr>
          <w:sz w:val="24"/>
        </w:rPr>
        <w:t>Requirements</w:t>
      </w:r>
    </w:p>
    <w:p w14:paraId="2EBAA506" w14:textId="371C7ABD" w:rsidR="00BC70F2" w:rsidRDefault="00F118CE" w:rsidP="003D42C5">
      <w:pPr>
        <w:pStyle w:val="BodyText"/>
        <w:ind w:left="669" w:right="130"/>
        <w:jc w:val="both"/>
      </w:pPr>
      <w:r>
        <w:t>2.</w:t>
      </w:r>
      <w:r w:rsidR="007439C5">
        <w:t>5</w:t>
      </w:r>
      <w:r>
        <w:t xml:space="preserve"> to 2.1</w:t>
      </w:r>
      <w:r w:rsidR="00607A60">
        <w:t>0</w:t>
      </w:r>
      <w:r>
        <w:t xml:space="preserve"> above in the business sec</w:t>
      </w:r>
      <w:r w:rsidR="00955B8E">
        <w:t xml:space="preserve">tor with which it is concerned, </w:t>
      </w:r>
      <w:r>
        <w:t xml:space="preserve">and shall if </w:t>
      </w:r>
      <w:r>
        <w:lastRenderedPageBreak/>
        <w:t xml:space="preserve">appropriate recommend additional membership criteria or codes of practice for that sector, which may be mandatory if approved by the </w:t>
      </w:r>
      <w:r w:rsidR="00263A37">
        <w:t xml:space="preserve">Global </w:t>
      </w:r>
      <w:r w:rsidR="00372425">
        <w:t>Board</w:t>
      </w:r>
      <w:r>
        <w:t xml:space="preserve"> or if adopted in accordance with procedures approved by the </w:t>
      </w:r>
      <w:r w:rsidR="00263A37">
        <w:t xml:space="preserve">Global </w:t>
      </w:r>
      <w:r w:rsidR="00372425">
        <w:t>Board</w:t>
      </w:r>
      <w:r>
        <w:t xml:space="preserve"> from time to time. Irrespective of membership of any Committee, all Members are required to implement fully any sector specific requirements of </w:t>
      </w:r>
      <w:r w:rsidR="00704475">
        <w:t>all</w:t>
      </w:r>
      <w:r>
        <w:t xml:space="preserve"> Committees if they are active in that</w:t>
      </w:r>
      <w:r>
        <w:rPr>
          <w:spacing w:val="-15"/>
        </w:rPr>
        <w:t xml:space="preserve"> </w:t>
      </w:r>
      <w:r>
        <w:t>sector.</w:t>
      </w:r>
    </w:p>
    <w:p w14:paraId="49599119" w14:textId="77777777" w:rsidR="00BC70F2" w:rsidRDefault="00BC70F2">
      <w:pPr>
        <w:pStyle w:val="BodyText"/>
      </w:pPr>
    </w:p>
    <w:p w14:paraId="0C205596" w14:textId="77777777" w:rsidR="00BC70F2" w:rsidRDefault="00F118CE">
      <w:pPr>
        <w:pStyle w:val="ListParagraph"/>
        <w:numPr>
          <w:ilvl w:val="1"/>
          <w:numId w:val="1"/>
        </w:numPr>
        <w:tabs>
          <w:tab w:val="left" w:pos="670"/>
        </w:tabs>
        <w:ind w:right="121" w:hanging="569"/>
        <w:rPr>
          <w:sz w:val="24"/>
        </w:rPr>
      </w:pPr>
      <w:r>
        <w:rPr>
          <w:sz w:val="24"/>
        </w:rPr>
        <w:t>The foregoing Requirements are not intended to and shall not be interpreted or implemented in such a way as to illegally restrict competition or entry into the Profession.</w:t>
      </w:r>
    </w:p>
    <w:p w14:paraId="4F800560" w14:textId="77777777" w:rsidR="00BC70F2" w:rsidRDefault="00BC70F2">
      <w:pPr>
        <w:pStyle w:val="BodyText"/>
        <w:rPr>
          <w:sz w:val="26"/>
        </w:rPr>
      </w:pPr>
    </w:p>
    <w:p w14:paraId="7D5B2251" w14:textId="77777777" w:rsidR="00BC70F2" w:rsidRDefault="00BC70F2">
      <w:pPr>
        <w:pStyle w:val="BodyText"/>
        <w:rPr>
          <w:sz w:val="26"/>
        </w:rPr>
      </w:pPr>
    </w:p>
    <w:p w14:paraId="2C407397" w14:textId="77777777" w:rsidR="00BC70F2" w:rsidRDefault="00BC70F2">
      <w:pPr>
        <w:pStyle w:val="BodyText"/>
        <w:spacing w:before="4"/>
        <w:rPr>
          <w:sz w:val="27"/>
        </w:rPr>
      </w:pPr>
    </w:p>
    <w:p w14:paraId="3F9F2C91" w14:textId="77777777" w:rsidR="00BC70F2" w:rsidRDefault="00F118CE">
      <w:pPr>
        <w:pStyle w:val="BodyText"/>
        <w:ind w:left="4633" w:right="4649"/>
        <w:jc w:val="center"/>
      </w:pPr>
      <w:r>
        <w:t>-Ends-</w:t>
      </w:r>
    </w:p>
    <w:sectPr w:rsidR="00BC70F2">
      <w:pgSz w:w="11930" w:h="16850"/>
      <w:pgMar w:top="1500" w:right="980" w:bottom="1740" w:left="920" w:header="0" w:footer="1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638A" w14:textId="77777777" w:rsidR="00387C2D" w:rsidRDefault="00387C2D">
      <w:r>
        <w:separator/>
      </w:r>
    </w:p>
  </w:endnote>
  <w:endnote w:type="continuationSeparator" w:id="0">
    <w:p w14:paraId="5A8FB992" w14:textId="77777777" w:rsidR="00387C2D" w:rsidRDefault="0038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52D4" w14:textId="77777777" w:rsidR="00BC70F2" w:rsidRDefault="00957457">
    <w:pPr>
      <w:pStyle w:val="BodyText"/>
      <w:spacing w:line="14" w:lineRule="auto"/>
      <w:rPr>
        <w:sz w:val="20"/>
      </w:rPr>
    </w:pPr>
    <w:r>
      <w:rPr>
        <w:noProof/>
        <w:lang w:bidi="ar-SA"/>
      </w:rPr>
      <mc:AlternateContent>
        <mc:Choice Requires="wps">
          <w:drawing>
            <wp:anchor distT="0" distB="0" distL="114300" distR="114300" simplePos="0" relativeHeight="503309840" behindDoc="1" locked="0" layoutInCell="1" allowOverlap="1" wp14:anchorId="70778BED" wp14:editId="353FFB22">
              <wp:simplePos x="0" y="0"/>
              <wp:positionH relativeFrom="page">
                <wp:posOffset>6788150</wp:posOffset>
              </wp:positionH>
              <wp:positionV relativeFrom="page">
                <wp:posOffset>10120630</wp:posOffset>
              </wp:positionV>
              <wp:extent cx="135890" cy="19621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74E2" w14:textId="77777777" w:rsidR="00BC70F2" w:rsidRDefault="00F118CE">
                          <w:pPr>
                            <w:pStyle w:val="BodyText"/>
                            <w:spacing w:before="12"/>
                            <w:ind w:left="40"/>
                          </w:pPr>
                          <w:r>
                            <w:fldChar w:fldCharType="begin"/>
                          </w:r>
                          <w:r>
                            <w:rPr>
                              <w:color w:val="808080"/>
                              <w:w w:val="99"/>
                            </w:rPr>
                            <w:instrText xml:space="preserve"> PAGE </w:instrText>
                          </w:r>
                          <w:r>
                            <w:fldChar w:fldCharType="separate"/>
                          </w:r>
                          <w:r w:rsidR="00AC3E79">
                            <w:rPr>
                              <w:noProof/>
                              <w:color w:val="808080"/>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8BED" id="_x0000_t202" coordsize="21600,21600" o:spt="202" path="m,l,21600r21600,l21600,xe">
              <v:stroke joinstyle="miter"/>
              <v:path gradientshapeok="t" o:connecttype="rect"/>
            </v:shapetype>
            <v:shape id="Text Box 1" o:spid="_x0000_s1028" type="#_x0000_t202" style="position:absolute;margin-left:534.5pt;margin-top:796.9pt;width:10.7pt;height:15.4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Lq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" filled="f" stroked="f">
              <v:textbox inset="0,0,0,0">
                <w:txbxContent>
                  <w:p w14:paraId="0DA874E2" w14:textId="77777777" w:rsidR="00BC70F2" w:rsidRDefault="00F118CE">
                    <w:pPr>
                      <w:pStyle w:val="BodyText"/>
                      <w:spacing w:before="12"/>
                      <w:ind w:left="40"/>
                    </w:pPr>
                    <w:r>
                      <w:fldChar w:fldCharType="begin"/>
                    </w:r>
                    <w:r>
                      <w:rPr>
                        <w:color w:val="808080"/>
                        <w:w w:val="99"/>
                      </w:rPr>
                      <w:instrText xml:space="preserve"> PAGE </w:instrText>
                    </w:r>
                    <w:r>
                      <w:fldChar w:fldCharType="separate"/>
                    </w:r>
                    <w:r w:rsidR="00AC3E79">
                      <w:rPr>
                        <w:noProof/>
                        <w:color w:val="808080"/>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0C14" w14:textId="77777777" w:rsidR="00387C2D" w:rsidRDefault="00387C2D">
      <w:r>
        <w:separator/>
      </w:r>
    </w:p>
  </w:footnote>
  <w:footnote w:type="continuationSeparator" w:id="0">
    <w:p w14:paraId="23FCC336" w14:textId="77777777" w:rsidR="00387C2D" w:rsidRDefault="0038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66C1" w14:textId="77777777" w:rsidR="00BC70F2" w:rsidRDefault="00826663">
    <w:pPr>
      <w:pStyle w:val="BodyText"/>
      <w:spacing w:line="14" w:lineRule="auto"/>
      <w:rPr>
        <w:sz w:val="20"/>
      </w:rPr>
    </w:pPr>
    <w:r>
      <w:rPr>
        <w:noProof/>
        <w:lang w:bidi="ar-SA"/>
      </w:rPr>
      <mc:AlternateContent>
        <mc:Choice Requires="wps">
          <w:drawing>
            <wp:anchor distT="0" distB="0" distL="114300" distR="114300" simplePos="0" relativeHeight="503309792" behindDoc="1" locked="0" layoutInCell="1" allowOverlap="1" wp14:anchorId="25F5E159" wp14:editId="19C2BCB6">
              <wp:simplePos x="0" y="0"/>
              <wp:positionH relativeFrom="page">
                <wp:posOffset>5379720</wp:posOffset>
              </wp:positionH>
              <wp:positionV relativeFrom="page">
                <wp:posOffset>563880</wp:posOffset>
              </wp:positionV>
              <wp:extent cx="2143125" cy="24384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20E3" w14:textId="1A9F719C" w:rsidR="00BC70F2" w:rsidRDefault="003A3437">
                          <w:pPr>
                            <w:pStyle w:val="BodyText"/>
                            <w:spacing w:before="10"/>
                            <w:ind w:left="20"/>
                            <w:rPr>
                              <w:rFonts w:ascii="Times New Roman"/>
                            </w:rPr>
                          </w:pPr>
                          <w:r>
                            <w:rPr>
                              <w:rFonts w:ascii="Times New Roman"/>
                              <w:color w:val="1F5767"/>
                            </w:rPr>
                            <w:t>March</w:t>
                          </w:r>
                          <w:r w:rsidR="00216DB0" w:rsidRPr="00216DB0">
                            <w:rPr>
                              <w:rFonts w:ascii="Times New Roman"/>
                              <w:color w:val="1F5767"/>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5E159" id="_x0000_t202" coordsize="21600,21600" o:spt="202" path="m,l,21600r21600,l21600,xe">
              <v:stroke joinstyle="miter"/>
              <v:path gradientshapeok="t" o:connecttype="rect"/>
            </v:shapetype>
            <v:shape id="Text Box 2" o:spid="_x0000_s1026" type="#_x0000_t202" style="position:absolute;margin-left:423.6pt;margin-top:44.4pt;width:168.75pt;height:19.2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" filled="f" stroked="f">
              <v:textbox inset="0,0,0,0">
                <w:txbxContent>
                  <w:p w14:paraId="729220E3" w14:textId="1A9F719C" w:rsidR="00BC70F2" w:rsidRDefault="003A3437">
                    <w:pPr>
                      <w:pStyle w:val="BodyText"/>
                      <w:spacing w:before="10"/>
                      <w:ind w:left="20"/>
                      <w:rPr>
                        <w:rFonts w:ascii="Times New Roman"/>
                      </w:rPr>
                    </w:pPr>
                    <w:r>
                      <w:rPr>
                        <w:rFonts w:ascii="Times New Roman"/>
                        <w:color w:val="1F5767"/>
                      </w:rPr>
                      <w:t>March</w:t>
                    </w:r>
                    <w:r w:rsidR="00216DB0" w:rsidRPr="00216DB0">
                      <w:rPr>
                        <w:rFonts w:ascii="Times New Roman"/>
                        <w:color w:val="1F5767"/>
                      </w:rPr>
                      <w:t xml:space="preserve"> 2019</w:t>
                    </w:r>
                  </w:p>
                </w:txbxContent>
              </v:textbox>
              <w10:wrap anchorx="page" anchory="page"/>
            </v:shape>
          </w:pict>
        </mc:Fallback>
      </mc:AlternateContent>
    </w:r>
    <w:r>
      <w:rPr>
        <w:noProof/>
        <w:lang w:bidi="ar-SA"/>
      </w:rPr>
      <mc:AlternateContent>
        <mc:Choice Requires="wps">
          <w:drawing>
            <wp:anchor distT="0" distB="0" distL="114300" distR="114300" simplePos="0" relativeHeight="503309768" behindDoc="1" locked="0" layoutInCell="1" allowOverlap="1" wp14:anchorId="057AE0DE" wp14:editId="56114B03">
              <wp:simplePos x="0" y="0"/>
              <wp:positionH relativeFrom="page">
                <wp:posOffset>623888</wp:posOffset>
              </wp:positionH>
              <wp:positionV relativeFrom="page">
                <wp:posOffset>285750</wp:posOffset>
              </wp:positionV>
              <wp:extent cx="2543175" cy="280988"/>
              <wp:effectExtent l="0" t="0" r="952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80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21EF" w14:textId="6DB67F20" w:rsidR="00BC70F2" w:rsidRPr="00DD33CA" w:rsidRDefault="00AD6CED">
                          <w:pPr>
                            <w:spacing w:before="9"/>
                            <w:ind w:left="20"/>
                            <w:rPr>
                              <w:rFonts w:ascii="Times New Roman"/>
                              <w:sz w:val="28"/>
                            </w:rPr>
                          </w:pPr>
                          <w:r>
                            <w:rPr>
                              <w:rFonts w:ascii="Times New Roman"/>
                              <w:sz w:val="28"/>
                            </w:rPr>
                            <w:t xml:space="preserve">Global </w:t>
                          </w:r>
                          <w:r w:rsidR="00826663" w:rsidRPr="004871E4">
                            <w:rPr>
                              <w:rFonts w:ascii="Times New Roman"/>
                              <w:sz w:val="28"/>
                            </w:rPr>
                            <w:t xml:space="preserve">Board Regulation </w:t>
                          </w:r>
                          <w:r w:rsidR="00F118CE" w:rsidRPr="004871E4">
                            <w:rPr>
                              <w:rFonts w:ascii="Times New Roman"/>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E0DE" id="Text Box 3" o:spid="_x0000_s1027" type="#_x0000_t202" style="position:absolute;margin-left:49.15pt;margin-top:22.5pt;width:200.25pt;height:22.1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8a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" filled="f" stroked="f">
              <v:textbox inset="0,0,0,0">
                <w:txbxContent>
                  <w:p w14:paraId="2C8721EF" w14:textId="6DB67F20" w:rsidR="00BC70F2" w:rsidRPr="00DD33CA" w:rsidRDefault="00AD6CED">
                    <w:pPr>
                      <w:spacing w:before="9"/>
                      <w:ind w:left="20"/>
                      <w:rPr>
                        <w:rFonts w:ascii="Times New Roman"/>
                        <w:sz w:val="28"/>
                      </w:rPr>
                    </w:pPr>
                    <w:r>
                      <w:rPr>
                        <w:rFonts w:ascii="Times New Roman"/>
                        <w:sz w:val="28"/>
                      </w:rPr>
                      <w:t xml:space="preserve">Global </w:t>
                    </w:r>
                    <w:r w:rsidR="00826663" w:rsidRPr="004871E4">
                      <w:rPr>
                        <w:rFonts w:ascii="Times New Roman"/>
                        <w:sz w:val="28"/>
                      </w:rPr>
                      <w:t xml:space="preserve">Board Regulation </w:t>
                    </w:r>
                    <w:r w:rsidR="00F118CE" w:rsidRPr="004871E4">
                      <w:rPr>
                        <w:rFonts w:ascii="Times New Roman"/>
                        <w:sz w:val="28"/>
                      </w:rPr>
                      <w:t>1</w:t>
                    </w:r>
                  </w:p>
                </w:txbxContent>
              </v:textbox>
              <w10:wrap anchorx="page" anchory="page"/>
            </v:shape>
          </w:pict>
        </mc:Fallback>
      </mc:AlternateContent>
    </w:r>
    <w:r w:rsidR="00DD33CA">
      <w:rPr>
        <w:noProof/>
      </w:rPr>
      <w:t>Board Regulatio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545B"/>
    <w:multiLevelType w:val="hybridMultilevel"/>
    <w:tmpl w:val="2C38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818F8"/>
    <w:multiLevelType w:val="hybridMultilevel"/>
    <w:tmpl w:val="6D142926"/>
    <w:lvl w:ilvl="0" w:tplc="00A65E12">
      <w:start w:val="1"/>
      <w:numFmt w:val="lowerLetter"/>
      <w:lvlText w:val="(%1)"/>
      <w:lvlJc w:val="left"/>
      <w:pPr>
        <w:ind w:left="744" w:hanging="38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6F41BC"/>
    <w:multiLevelType w:val="hybridMultilevel"/>
    <w:tmpl w:val="2DB27E82"/>
    <w:lvl w:ilvl="0" w:tplc="08090001">
      <w:start w:val="1"/>
      <w:numFmt w:val="bullet"/>
      <w:lvlText w:val=""/>
      <w:lvlJc w:val="left"/>
      <w:pPr>
        <w:ind w:left="1104" w:hanging="384"/>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302778FE"/>
    <w:multiLevelType w:val="multilevel"/>
    <w:tmpl w:val="3954BECA"/>
    <w:lvl w:ilvl="0">
      <w:start w:val="2"/>
      <w:numFmt w:val="decimal"/>
      <w:lvlText w:val="%1"/>
      <w:lvlJc w:val="left"/>
      <w:pPr>
        <w:ind w:left="669" w:hanging="570"/>
      </w:pPr>
      <w:rPr>
        <w:rFonts w:hint="default"/>
        <w:lang w:val="en-GB" w:eastAsia="en-GB" w:bidi="en-GB"/>
      </w:rPr>
    </w:lvl>
    <w:lvl w:ilvl="1">
      <w:start w:val="1"/>
      <w:numFmt w:val="decimal"/>
      <w:lvlText w:val="%1.%2"/>
      <w:lvlJc w:val="left"/>
      <w:pPr>
        <w:ind w:left="669" w:hanging="570"/>
      </w:pPr>
      <w:rPr>
        <w:rFonts w:hint="default"/>
        <w:i w:val="0"/>
        <w:spacing w:val="-33"/>
        <w:w w:val="99"/>
        <w:lang w:val="en-GB" w:eastAsia="en-GB" w:bidi="en-GB"/>
      </w:rPr>
    </w:lvl>
    <w:lvl w:ilvl="2">
      <w:start w:val="1"/>
      <w:numFmt w:val="bullet"/>
      <w:lvlText w:val=""/>
      <w:lvlJc w:val="left"/>
      <w:pPr>
        <w:ind w:left="1235" w:hanging="567"/>
      </w:pPr>
      <w:rPr>
        <w:rFonts w:ascii="Symbol" w:hAnsi="Symbol" w:hint="default"/>
        <w:color w:val="000000" w:themeColor="text1"/>
        <w:w w:val="100"/>
        <w:lang w:val="en-GB" w:eastAsia="en-GB" w:bidi="en-GB"/>
      </w:rPr>
    </w:lvl>
    <w:lvl w:ilvl="3">
      <w:numFmt w:val="bullet"/>
      <w:lvlText w:val="•"/>
      <w:lvlJc w:val="left"/>
      <w:pPr>
        <w:ind w:left="3191" w:hanging="567"/>
      </w:pPr>
      <w:rPr>
        <w:rFonts w:hint="default"/>
        <w:lang w:val="en-GB" w:eastAsia="en-GB" w:bidi="en-GB"/>
      </w:rPr>
    </w:lvl>
    <w:lvl w:ilvl="4">
      <w:numFmt w:val="bullet"/>
      <w:lvlText w:val="•"/>
      <w:lvlJc w:val="left"/>
      <w:pPr>
        <w:ind w:left="4166" w:hanging="567"/>
      </w:pPr>
      <w:rPr>
        <w:rFonts w:hint="default"/>
        <w:lang w:val="en-GB" w:eastAsia="en-GB" w:bidi="en-GB"/>
      </w:rPr>
    </w:lvl>
    <w:lvl w:ilvl="5">
      <w:numFmt w:val="bullet"/>
      <w:lvlText w:val="•"/>
      <w:lvlJc w:val="left"/>
      <w:pPr>
        <w:ind w:left="5142" w:hanging="567"/>
      </w:pPr>
      <w:rPr>
        <w:rFonts w:hint="default"/>
        <w:lang w:val="en-GB" w:eastAsia="en-GB" w:bidi="en-GB"/>
      </w:rPr>
    </w:lvl>
    <w:lvl w:ilvl="6">
      <w:numFmt w:val="bullet"/>
      <w:lvlText w:val="•"/>
      <w:lvlJc w:val="left"/>
      <w:pPr>
        <w:ind w:left="6118" w:hanging="567"/>
      </w:pPr>
      <w:rPr>
        <w:rFonts w:hint="default"/>
        <w:lang w:val="en-GB" w:eastAsia="en-GB" w:bidi="en-GB"/>
      </w:rPr>
    </w:lvl>
    <w:lvl w:ilvl="7">
      <w:numFmt w:val="bullet"/>
      <w:lvlText w:val="•"/>
      <w:lvlJc w:val="left"/>
      <w:pPr>
        <w:ind w:left="7093" w:hanging="567"/>
      </w:pPr>
      <w:rPr>
        <w:rFonts w:hint="default"/>
        <w:lang w:val="en-GB" w:eastAsia="en-GB" w:bidi="en-GB"/>
      </w:rPr>
    </w:lvl>
    <w:lvl w:ilvl="8">
      <w:numFmt w:val="bullet"/>
      <w:lvlText w:val="•"/>
      <w:lvlJc w:val="left"/>
      <w:pPr>
        <w:ind w:left="8069" w:hanging="567"/>
      </w:pPr>
      <w:rPr>
        <w:rFonts w:hint="default"/>
        <w:lang w:val="en-GB" w:eastAsia="en-GB" w:bidi="en-GB"/>
      </w:rPr>
    </w:lvl>
  </w:abstractNum>
  <w:abstractNum w:abstractNumId="4" w15:restartNumberingAfterBreak="0">
    <w:nsid w:val="662738E7"/>
    <w:multiLevelType w:val="multilevel"/>
    <w:tmpl w:val="2BC6BB46"/>
    <w:lvl w:ilvl="0">
      <w:start w:val="1"/>
      <w:numFmt w:val="decimal"/>
      <w:lvlText w:val="%1"/>
      <w:lvlJc w:val="left"/>
      <w:pPr>
        <w:ind w:left="669" w:hanging="570"/>
      </w:pPr>
      <w:rPr>
        <w:rFonts w:hint="default"/>
        <w:lang w:val="en-GB" w:eastAsia="en-GB" w:bidi="en-GB"/>
      </w:rPr>
    </w:lvl>
    <w:lvl w:ilvl="1">
      <w:start w:val="1"/>
      <w:numFmt w:val="decimal"/>
      <w:lvlText w:val="%1.%2"/>
      <w:lvlJc w:val="left"/>
      <w:pPr>
        <w:ind w:left="669" w:hanging="570"/>
      </w:pPr>
      <w:rPr>
        <w:rFonts w:ascii="Arial" w:eastAsia="Arial" w:hAnsi="Arial" w:cs="Arial" w:hint="default"/>
        <w:b/>
        <w:bCs/>
        <w:color w:val="808080"/>
        <w:w w:val="99"/>
        <w:sz w:val="24"/>
        <w:szCs w:val="24"/>
        <w:lang w:val="en-GB" w:eastAsia="en-GB" w:bidi="en-GB"/>
      </w:rPr>
    </w:lvl>
    <w:lvl w:ilvl="2">
      <w:start w:val="1"/>
      <w:numFmt w:val="decimal"/>
      <w:lvlText w:val="%1.%2.%3"/>
      <w:lvlJc w:val="left"/>
      <w:pPr>
        <w:ind w:left="669" w:hanging="570"/>
      </w:pPr>
      <w:rPr>
        <w:rFonts w:ascii="Arial" w:eastAsia="Arial" w:hAnsi="Arial" w:cs="Arial" w:hint="default"/>
        <w:spacing w:val="-2"/>
        <w:w w:val="99"/>
        <w:sz w:val="24"/>
        <w:szCs w:val="24"/>
        <w:lang w:val="en-GB" w:eastAsia="en-GB" w:bidi="en-GB"/>
      </w:rPr>
    </w:lvl>
    <w:lvl w:ilvl="3">
      <w:numFmt w:val="bullet"/>
      <w:lvlText w:val=""/>
      <w:lvlJc w:val="left"/>
      <w:pPr>
        <w:ind w:left="1235" w:hanging="567"/>
      </w:pPr>
      <w:rPr>
        <w:rFonts w:ascii="Symbol" w:eastAsia="Symbol" w:hAnsi="Symbol" w:cs="Symbol" w:hint="default"/>
        <w:w w:val="100"/>
        <w:sz w:val="24"/>
        <w:szCs w:val="24"/>
        <w:lang w:val="en-GB" w:eastAsia="en-GB" w:bidi="en-GB"/>
      </w:rPr>
    </w:lvl>
    <w:lvl w:ilvl="4">
      <w:numFmt w:val="bullet"/>
      <w:lvlText w:val="•"/>
      <w:lvlJc w:val="left"/>
      <w:pPr>
        <w:ind w:left="4166" w:hanging="567"/>
      </w:pPr>
      <w:rPr>
        <w:rFonts w:hint="default"/>
        <w:lang w:val="en-GB" w:eastAsia="en-GB" w:bidi="en-GB"/>
      </w:rPr>
    </w:lvl>
    <w:lvl w:ilvl="5">
      <w:numFmt w:val="bullet"/>
      <w:lvlText w:val="•"/>
      <w:lvlJc w:val="left"/>
      <w:pPr>
        <w:ind w:left="5142" w:hanging="567"/>
      </w:pPr>
      <w:rPr>
        <w:rFonts w:hint="default"/>
        <w:lang w:val="en-GB" w:eastAsia="en-GB" w:bidi="en-GB"/>
      </w:rPr>
    </w:lvl>
    <w:lvl w:ilvl="6">
      <w:numFmt w:val="bullet"/>
      <w:lvlText w:val="•"/>
      <w:lvlJc w:val="left"/>
      <w:pPr>
        <w:ind w:left="6118" w:hanging="567"/>
      </w:pPr>
      <w:rPr>
        <w:rFonts w:hint="default"/>
        <w:lang w:val="en-GB" w:eastAsia="en-GB" w:bidi="en-GB"/>
      </w:rPr>
    </w:lvl>
    <w:lvl w:ilvl="7">
      <w:numFmt w:val="bullet"/>
      <w:lvlText w:val="•"/>
      <w:lvlJc w:val="left"/>
      <w:pPr>
        <w:ind w:left="7093" w:hanging="567"/>
      </w:pPr>
      <w:rPr>
        <w:rFonts w:hint="default"/>
        <w:lang w:val="en-GB" w:eastAsia="en-GB" w:bidi="en-GB"/>
      </w:rPr>
    </w:lvl>
    <w:lvl w:ilvl="8">
      <w:numFmt w:val="bullet"/>
      <w:lvlText w:val="•"/>
      <w:lvlJc w:val="left"/>
      <w:pPr>
        <w:ind w:left="8069" w:hanging="567"/>
      </w:pPr>
      <w:rPr>
        <w:rFonts w:hint="default"/>
        <w:lang w:val="en-GB" w:eastAsia="en-GB" w:bidi="en-GB"/>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F2"/>
    <w:rsid w:val="000043BC"/>
    <w:rsid w:val="00007AAA"/>
    <w:rsid w:val="00034CD4"/>
    <w:rsid w:val="00051C7D"/>
    <w:rsid w:val="000750C8"/>
    <w:rsid w:val="000A51A7"/>
    <w:rsid w:val="000B19D4"/>
    <w:rsid w:val="000F185F"/>
    <w:rsid w:val="00131988"/>
    <w:rsid w:val="001478D5"/>
    <w:rsid w:val="00177609"/>
    <w:rsid w:val="00183073"/>
    <w:rsid w:val="00195FB3"/>
    <w:rsid w:val="001C06C6"/>
    <w:rsid w:val="001C4641"/>
    <w:rsid w:val="001C50A1"/>
    <w:rsid w:val="00200DE4"/>
    <w:rsid w:val="00200EBB"/>
    <w:rsid w:val="00216DB0"/>
    <w:rsid w:val="00222845"/>
    <w:rsid w:val="00263A37"/>
    <w:rsid w:val="00286968"/>
    <w:rsid w:val="0029454A"/>
    <w:rsid w:val="002A45E8"/>
    <w:rsid w:val="002C01DB"/>
    <w:rsid w:val="002C6A6E"/>
    <w:rsid w:val="003205B9"/>
    <w:rsid w:val="003437D6"/>
    <w:rsid w:val="0034724E"/>
    <w:rsid w:val="00372425"/>
    <w:rsid w:val="00374C16"/>
    <w:rsid w:val="00387C2D"/>
    <w:rsid w:val="003A3437"/>
    <w:rsid w:val="003D42C5"/>
    <w:rsid w:val="003D7852"/>
    <w:rsid w:val="00420C3A"/>
    <w:rsid w:val="00434B40"/>
    <w:rsid w:val="004373B2"/>
    <w:rsid w:val="004442FC"/>
    <w:rsid w:val="00447DD1"/>
    <w:rsid w:val="0045007C"/>
    <w:rsid w:val="004871E4"/>
    <w:rsid w:val="004C5605"/>
    <w:rsid w:val="004F2713"/>
    <w:rsid w:val="004F3C08"/>
    <w:rsid w:val="004F4AB3"/>
    <w:rsid w:val="00500BC1"/>
    <w:rsid w:val="005108E0"/>
    <w:rsid w:val="00521D3F"/>
    <w:rsid w:val="00524C5E"/>
    <w:rsid w:val="005254B7"/>
    <w:rsid w:val="005506F0"/>
    <w:rsid w:val="00553E01"/>
    <w:rsid w:val="00563FB4"/>
    <w:rsid w:val="00577220"/>
    <w:rsid w:val="005778C5"/>
    <w:rsid w:val="0059437F"/>
    <w:rsid w:val="005B383F"/>
    <w:rsid w:val="005C2F7A"/>
    <w:rsid w:val="005F485B"/>
    <w:rsid w:val="00607A60"/>
    <w:rsid w:val="00633E7B"/>
    <w:rsid w:val="006349BE"/>
    <w:rsid w:val="00646AE9"/>
    <w:rsid w:val="006553AE"/>
    <w:rsid w:val="00662033"/>
    <w:rsid w:val="006809E3"/>
    <w:rsid w:val="00684FAA"/>
    <w:rsid w:val="006A6584"/>
    <w:rsid w:val="006B5BF5"/>
    <w:rsid w:val="006D5AC1"/>
    <w:rsid w:val="006E1A27"/>
    <w:rsid w:val="006F0E39"/>
    <w:rsid w:val="00704475"/>
    <w:rsid w:val="007059AC"/>
    <w:rsid w:val="007439C5"/>
    <w:rsid w:val="00747C0E"/>
    <w:rsid w:val="00763239"/>
    <w:rsid w:val="00777A1D"/>
    <w:rsid w:val="00793341"/>
    <w:rsid w:val="00794C19"/>
    <w:rsid w:val="007B0D05"/>
    <w:rsid w:val="007C4B71"/>
    <w:rsid w:val="007E6BC0"/>
    <w:rsid w:val="007F146C"/>
    <w:rsid w:val="00800115"/>
    <w:rsid w:val="008126C8"/>
    <w:rsid w:val="0082438F"/>
    <w:rsid w:val="00826663"/>
    <w:rsid w:val="00851FEA"/>
    <w:rsid w:val="00853280"/>
    <w:rsid w:val="008F161B"/>
    <w:rsid w:val="008F4A16"/>
    <w:rsid w:val="009063FA"/>
    <w:rsid w:val="009175FE"/>
    <w:rsid w:val="00955B8E"/>
    <w:rsid w:val="009568AF"/>
    <w:rsid w:val="00957457"/>
    <w:rsid w:val="00973D65"/>
    <w:rsid w:val="009B524F"/>
    <w:rsid w:val="009E10A5"/>
    <w:rsid w:val="009E6254"/>
    <w:rsid w:val="009F491E"/>
    <w:rsid w:val="00A11804"/>
    <w:rsid w:val="00A222DE"/>
    <w:rsid w:val="00A23DB4"/>
    <w:rsid w:val="00A248C5"/>
    <w:rsid w:val="00A2576B"/>
    <w:rsid w:val="00A27AAB"/>
    <w:rsid w:val="00A3058E"/>
    <w:rsid w:val="00A76F9E"/>
    <w:rsid w:val="00A92071"/>
    <w:rsid w:val="00A96F68"/>
    <w:rsid w:val="00AB39E7"/>
    <w:rsid w:val="00AC3E79"/>
    <w:rsid w:val="00AD6CED"/>
    <w:rsid w:val="00AF0EA5"/>
    <w:rsid w:val="00B137B1"/>
    <w:rsid w:val="00B4188B"/>
    <w:rsid w:val="00B5278D"/>
    <w:rsid w:val="00B6067A"/>
    <w:rsid w:val="00BC70F2"/>
    <w:rsid w:val="00BE1414"/>
    <w:rsid w:val="00BE2313"/>
    <w:rsid w:val="00BE3BF2"/>
    <w:rsid w:val="00C15117"/>
    <w:rsid w:val="00C27FBE"/>
    <w:rsid w:val="00C53D78"/>
    <w:rsid w:val="00C602EA"/>
    <w:rsid w:val="00C80E49"/>
    <w:rsid w:val="00C9317C"/>
    <w:rsid w:val="00CD4D75"/>
    <w:rsid w:val="00CD5B4A"/>
    <w:rsid w:val="00D12F48"/>
    <w:rsid w:val="00D2218A"/>
    <w:rsid w:val="00D54A08"/>
    <w:rsid w:val="00DB064E"/>
    <w:rsid w:val="00DB1286"/>
    <w:rsid w:val="00DD33CA"/>
    <w:rsid w:val="00DD606D"/>
    <w:rsid w:val="00DE681B"/>
    <w:rsid w:val="00E32F41"/>
    <w:rsid w:val="00E37713"/>
    <w:rsid w:val="00E4106B"/>
    <w:rsid w:val="00E441E0"/>
    <w:rsid w:val="00E5767A"/>
    <w:rsid w:val="00E607C5"/>
    <w:rsid w:val="00E779BE"/>
    <w:rsid w:val="00E96F83"/>
    <w:rsid w:val="00EB12C3"/>
    <w:rsid w:val="00EE740E"/>
    <w:rsid w:val="00F11167"/>
    <w:rsid w:val="00F118CE"/>
    <w:rsid w:val="00F32923"/>
    <w:rsid w:val="00FA3A46"/>
    <w:rsid w:val="00FC5EEB"/>
    <w:rsid w:val="00FD71FF"/>
    <w:rsid w:val="00FE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182844"/>
  <w15:docId w15:val="{E2801C38-BD2F-4D6F-A386-A9E7B7B0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6"/>
      <w:outlineLvl w:val="0"/>
    </w:pPr>
    <w:rPr>
      <w:rFonts w:ascii="Times New Roman" w:eastAsia="Times New Roman" w:hAnsi="Times New Roman" w:cs="Times New Roman"/>
      <w:sz w:val="44"/>
      <w:szCs w:val="44"/>
    </w:rPr>
  </w:style>
  <w:style w:type="paragraph" w:styleId="Heading2">
    <w:name w:val="heading 2"/>
    <w:basedOn w:val="Normal"/>
    <w:uiPriority w:val="1"/>
    <w:qFormat/>
    <w:pPr>
      <w:spacing w:before="1"/>
      <w:ind w:left="100" w:right="677"/>
      <w:outlineLvl w:val="1"/>
    </w:pPr>
    <w:rPr>
      <w:b/>
      <w:bCs/>
      <w:sz w:val="28"/>
      <w:szCs w:val="28"/>
    </w:rPr>
  </w:style>
  <w:style w:type="paragraph" w:styleId="Heading3">
    <w:name w:val="heading 3"/>
    <w:basedOn w:val="Normal"/>
    <w:uiPriority w:val="1"/>
    <w:qFormat/>
    <w:pPr>
      <w:ind w:left="669" w:hanging="56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9" w:hanging="56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6663"/>
    <w:pPr>
      <w:tabs>
        <w:tab w:val="center" w:pos="4536"/>
        <w:tab w:val="right" w:pos="9072"/>
      </w:tabs>
    </w:pPr>
  </w:style>
  <w:style w:type="character" w:customStyle="1" w:styleId="HeaderChar">
    <w:name w:val="Header Char"/>
    <w:basedOn w:val="DefaultParagraphFont"/>
    <w:link w:val="Header"/>
    <w:uiPriority w:val="99"/>
    <w:rsid w:val="00826663"/>
    <w:rPr>
      <w:rFonts w:ascii="Arial" w:eastAsia="Arial" w:hAnsi="Arial" w:cs="Arial"/>
      <w:lang w:val="en-GB" w:eastAsia="en-GB" w:bidi="en-GB"/>
    </w:rPr>
  </w:style>
  <w:style w:type="paragraph" w:styleId="Footer">
    <w:name w:val="footer"/>
    <w:basedOn w:val="Normal"/>
    <w:link w:val="FooterChar"/>
    <w:uiPriority w:val="99"/>
    <w:unhideWhenUsed/>
    <w:rsid w:val="00826663"/>
    <w:pPr>
      <w:tabs>
        <w:tab w:val="center" w:pos="4536"/>
        <w:tab w:val="right" w:pos="9072"/>
      </w:tabs>
    </w:pPr>
  </w:style>
  <w:style w:type="character" w:customStyle="1" w:styleId="FooterChar">
    <w:name w:val="Footer Char"/>
    <w:basedOn w:val="DefaultParagraphFont"/>
    <w:link w:val="Footer"/>
    <w:uiPriority w:val="99"/>
    <w:rsid w:val="00826663"/>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CD4D75"/>
    <w:rPr>
      <w:sz w:val="16"/>
      <w:szCs w:val="16"/>
    </w:rPr>
  </w:style>
  <w:style w:type="paragraph" w:styleId="CommentText">
    <w:name w:val="annotation text"/>
    <w:basedOn w:val="Normal"/>
    <w:link w:val="CommentTextChar"/>
    <w:uiPriority w:val="99"/>
    <w:unhideWhenUsed/>
    <w:rsid w:val="00CD4D75"/>
    <w:rPr>
      <w:sz w:val="20"/>
      <w:szCs w:val="20"/>
    </w:rPr>
  </w:style>
  <w:style w:type="character" w:customStyle="1" w:styleId="CommentTextChar">
    <w:name w:val="Comment Text Char"/>
    <w:basedOn w:val="DefaultParagraphFont"/>
    <w:link w:val="CommentText"/>
    <w:uiPriority w:val="99"/>
    <w:rsid w:val="00CD4D7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D4D75"/>
    <w:rPr>
      <w:b/>
      <w:bCs/>
    </w:rPr>
  </w:style>
  <w:style w:type="character" w:customStyle="1" w:styleId="CommentSubjectChar">
    <w:name w:val="Comment Subject Char"/>
    <w:basedOn w:val="CommentTextChar"/>
    <w:link w:val="CommentSubject"/>
    <w:uiPriority w:val="99"/>
    <w:semiHidden/>
    <w:rsid w:val="00CD4D75"/>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CD4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75"/>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E31E-402D-42FA-BD4B-4E9F89A0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7</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Taidi</dc:creator>
  <cp:keywords/>
  <dc:description/>
  <cp:lastModifiedBy>Zlatina Zheleva - IFIA</cp:lastModifiedBy>
  <cp:revision>77</cp:revision>
  <dcterms:created xsi:type="dcterms:W3CDTF">2019-01-10T15:01:00Z</dcterms:created>
  <dcterms:modified xsi:type="dcterms:W3CDTF">2019-03-27T14:36:00Z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Word 2013</vt:lpwstr>
  </property>
  <property fmtid="{D5CDD505-2E9C-101B-9397-08002B2CF9AE}" pid="4" name="LastSaved">
    <vt:filetime>2018-07-23T00:00:00Z</vt:filetime>
  </property>
</Properties>
</file>